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W w:type="dxa" w:w="9072"/>
        <w:jc w:val="left"/>
        <w:tblInd w:type="dxa" w:w="0"/>
        <w:tblBorders>
          <w:top w:val="nil"/>
          <w:left w:val="nil"/>
          <w:bottom w:color="00000A" w:space="0" w:sz="4" w:val="single"/>
          <w:insideH w:color="00000A" w:space="0" w:sz="4" w:val="single"/>
          <w:right w:val="nil"/>
          <w:insideV w:val="nil"/>
        </w:tblBorders>
        <w:tblCellMar>
          <w:top w:type="dxa" w:w="0"/>
          <w:left w:type="dxa" w:w="70"/>
          <w:bottom w:type="dxa" w:w="0"/>
          <w:right w:type="dxa" w:w="70"/>
        </w:tblCellMar>
      </w:tblPr>
      <w:tblGrid>
        <w:gridCol w:w="9071"/>
      </w:tblGrid>
      <w:tr>
        <w:trPr>
          <w:trHeight w:hRule="atLeast" w:val="987"/>
          <w:cantSplit w:val="false"/>
        </w:trPr>
        <w:tc>
          <w:tcPr>
            <w:tcW w:type="dxa" w:w="9071"/>
            <w:gridSpan w:val="4"/>
            <w:tcBorders>
              <w:top w:val="nil"/>
              <w:left w:val="nil"/>
              <w:bottom w:color="00000A" w:space="0" w:sz="4" w:val="single"/>
              <w:right w:val="nil"/>
            </w:tcBorders>
            <w:shd w:fill="FFFFFF" w:val="clear"/>
            <w:vAlign w:val="center"/>
          </w:tcPr>
          <w:p>
            <w:pPr>
              <w:pStyle w:val="style0"/>
              <w:spacing w:after="0" w:before="0" w:line="100" w:lineRule="atLeast"/>
              <w:contextualSpacing w:val="false"/>
              <w:jc w:val="center"/>
              <w:rPr>
                <w:rFonts w:ascii="Arial" w:cs="Arial" w:eastAsia="Times New Roman" w:hAnsi="Arial"/>
                <w:bCs/>
                <w:color w:val="000000"/>
                <w:sz w:val="18"/>
                <w:szCs w:val="18"/>
                <w:lang w:eastAsia="fr-FR"/>
              </w:rPr>
            </w:pPr>
            <w:r>
              <w:rPr>
                <w:rFonts w:ascii="Arial" w:cs="Arial" w:eastAsia="Times New Roman" w:hAnsi="Arial"/>
                <w:bCs/>
                <w:color w:val="000000"/>
                <w:sz w:val="18"/>
                <w:szCs w:val="18"/>
                <w:lang w:eastAsia="fr-FR"/>
              </w:rPr>
              <w:t>La liste des documents nécessaires à l'inspection des établissements français (produits d'origine animale) par les inspecteurs de l'Union Douanière à imprimer les documents en deux versions française et russe</w:t>
            </w:r>
          </w:p>
        </w:tc>
      </w:tr>
      <w:tr>
        <w:trPr>
          <w:trHeight w:hRule="atLeast" w:val="422"/>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b/>
                <w:bCs/>
                <w:color w:val="000000"/>
                <w:sz w:val="16"/>
                <w:szCs w:val="16"/>
                <w:lang w:eastAsia="fr-FR"/>
              </w:rPr>
            </w:pPr>
            <w:r>
              <w:rPr>
                <w:rFonts w:ascii="Arial" w:cs="Arial" w:eastAsia="Times New Roman" w:hAnsi="Arial"/>
                <w:b/>
                <w:bCs/>
                <w:color w:val="000000"/>
                <w:sz w:val="16"/>
                <w:szCs w:val="16"/>
                <w:lang w:eastAsia="fr-FR"/>
              </w:rPr>
              <w:t>N°</w:t>
            </w:r>
          </w:p>
        </w:tc>
        <w:tc>
          <w:tcPr>
            <w:tcW w:type="dxa" w:w="7590"/>
            <w:tcBorders>
              <w:top w:val="nil"/>
              <w:left w:val="nil"/>
              <w:bottom w:color="00000A" w:space="0" w:sz="4" w:val="single"/>
              <w:right w:color="00000A" w:space="0" w:sz="4" w:val="single"/>
            </w:tcBorders>
            <w:shd w:fill="FFFFFF" w:val="clear"/>
            <w:vAlign w:val="center"/>
          </w:tcPr>
          <w:p>
            <w:pPr>
              <w:pStyle w:val="style0"/>
              <w:spacing w:after="0" w:before="0" w:line="100" w:lineRule="atLeast"/>
              <w:contextualSpacing w:val="false"/>
              <w:jc w:val="center"/>
              <w:rPr>
                <w:rFonts w:ascii="Arial" w:cs="Arial" w:eastAsia="Times New Roman" w:hAnsi="Arial"/>
                <w:b/>
                <w:bCs/>
                <w:color w:val="000000"/>
                <w:sz w:val="16"/>
                <w:szCs w:val="16"/>
                <w:lang w:eastAsia="fr-FR"/>
              </w:rPr>
            </w:pPr>
            <w:r>
              <w:rPr>
                <w:rFonts w:ascii="Arial" w:cs="Arial" w:eastAsia="Times New Roman" w:hAnsi="Arial"/>
                <w:b/>
                <w:bCs/>
                <w:color w:val="000000"/>
                <w:sz w:val="16"/>
                <w:szCs w:val="16"/>
                <w:lang w:eastAsia="fr-FR"/>
              </w:rPr>
              <w:t>Documents à télécharger</w:t>
            </w:r>
          </w:p>
        </w:tc>
        <w:tc>
          <w:tcPr>
            <w:tcW w:type="dxa" w:w="348"/>
            <w:tcBorders>
              <w:top w:val="nil"/>
              <w:left w:val="nil"/>
              <w:bottom w:color="00000A" w:space="0" w:sz="4" w:val="single"/>
              <w:right w:color="00000A" w:space="0" w:sz="4" w:val="single"/>
            </w:tcBorders>
            <w:shd w:fill="FFFFFF" w:val="clear"/>
            <w:vAlign w:val="center"/>
          </w:tcPr>
          <w:p>
            <w:pPr>
              <w:pStyle w:val="style0"/>
              <w:spacing w:after="0" w:before="0" w:line="100" w:lineRule="atLeast"/>
              <w:contextualSpacing w:val="false"/>
              <w:jc w:val="center"/>
              <w:rPr>
                <w:rFonts w:ascii="Arial" w:cs="Arial" w:eastAsia="Times New Roman" w:hAnsi="Arial"/>
                <w:b/>
                <w:bCs/>
                <w:color w:val="000000"/>
                <w:sz w:val="16"/>
                <w:szCs w:val="16"/>
                <w:lang w:eastAsia="fr-FR"/>
              </w:rPr>
            </w:pPr>
            <w:r>
              <w:rPr>
                <w:rFonts w:ascii="Arial" w:cs="Arial" w:eastAsia="Times New Roman" w:hAnsi="Arial"/>
                <w:b/>
                <w:bCs/>
                <w:color w:val="000000"/>
                <w:sz w:val="16"/>
                <w:szCs w:val="16"/>
                <w:lang w:eastAsia="fr-FR"/>
              </w:rPr>
              <w:t>FR</w:t>
            </w:r>
          </w:p>
        </w:tc>
        <w:tc>
          <w:tcPr>
            <w:tcW w:type="dxa" w:w="367"/>
            <w:tcBorders>
              <w:top w:val="nil"/>
              <w:left w:val="nil"/>
              <w:bottom w:color="00000A" w:space="0" w:sz="4" w:val="single"/>
              <w:right w:color="00000A" w:space="0" w:sz="4" w:val="single"/>
            </w:tcBorders>
            <w:shd w:fill="FFFFFF" w:val="clear"/>
            <w:vAlign w:val="center"/>
          </w:tcPr>
          <w:p>
            <w:pPr>
              <w:pStyle w:val="style0"/>
              <w:spacing w:after="0" w:before="0" w:line="100" w:lineRule="atLeast"/>
              <w:contextualSpacing w:val="false"/>
              <w:jc w:val="center"/>
              <w:rPr>
                <w:rFonts w:ascii="Arial" w:cs="Arial" w:eastAsia="Times New Roman" w:hAnsi="Arial"/>
                <w:b/>
                <w:bCs/>
                <w:color w:val="000000"/>
                <w:sz w:val="16"/>
                <w:szCs w:val="16"/>
                <w:lang w:eastAsia="fr-FR"/>
              </w:rPr>
            </w:pPr>
            <w:r>
              <w:rPr>
                <w:rFonts w:ascii="Arial" w:cs="Arial" w:eastAsia="Times New Roman" w:hAnsi="Arial"/>
                <w:b/>
                <w:bCs/>
                <w:color w:val="000000"/>
                <w:sz w:val="16"/>
                <w:szCs w:val="16"/>
                <w:lang w:eastAsia="fr-FR"/>
              </w:rPr>
              <w:t>RU</w:t>
            </w:r>
          </w:p>
        </w:tc>
      </w:tr>
      <w:tr>
        <w:trPr>
          <w:trHeight w:hRule="atLeast" w:val="272"/>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Accord de l’Union douanière sur les mesures vétérinaro-sanitaires N°29 du 11 décembre 2009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77"/>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2.1</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Décision n°317 du 18 juin 2010, sur l'application des mesures vétérinaires et sanitaires au sein de l'Union Douanière.</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182"/>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2.2</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La liste unie des marchandises soumises au contrôle (à la surveillance) vétérinaire approuvée par la Décision n°317</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343"/>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2.3</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La réglementation sur la procédure unie de contrôle vétérinaire à la frontière de l'Union Douanière et sur le territoire de l'Union Douanière approuvée par la Décision n°317</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300"/>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2.4</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Modification n°84 du 19 novembre 2013</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15"/>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2.5</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La réglementation sur la procédure unie de contrôle des objets et de collecte des échantillons de marchandises (de la production) soumises au contrôle (à la surveillance) vétérinaire approuvée par la Décision n°317:</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415"/>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2.6</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Les exigences vétérinaires unies qui s'appliquent aux marchandises soumises au contrôle (à la surveillance) vétérinaire approuvées par Décision n°317</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65"/>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3.1</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Décision n°342 du 17 aout 2010 portant sur les questions liées au contrôle (à la surveillance) vétérinaire au sein de l'Union Douanière</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54"/>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3.2</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La forme du registre des organisations et personnes chargées de la production, du traitement et (ou) de la conservation des marchandises soumises au contrôle, transportées du territoire d'un Etat membre de l'Union Douanière vers le territoire d'un autre Etat membre de l'Union Douanière approuvée par la Décision n°342</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62"/>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3.3</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La forme du registre des organisations et personnes chargées de la production, du traitement et (ou) de la conservation des marchandises soumises au contrôle et importées sur le territoire douanière de l'Union Douanière approuvée par la Décision n°342:</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70"/>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3.4</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Les conditions techniques selon la forme et le règlement de transmission des données relatives aux registres des organisations et personnes chargées de la production, du traitement et (ou) de la conservation des marchandises soumises au contrôle approuvées par la Décision n°342</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195"/>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4.1</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Nouvelle rédaction des formulaires unifiés des certificats vétérinaires approuvée par la Décision n°455</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13"/>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4.2</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Liste des maladies animales approuvée par la Décision n°455</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31"/>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5</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 </w:t>
            </w:r>
            <w:r>
              <w:rPr>
                <w:rFonts w:ascii="Arial" w:cs="Arial" w:eastAsia="Times New Roman" w:hAnsi="Arial"/>
                <w:color w:val="000000"/>
                <w:sz w:val="16"/>
                <w:szCs w:val="16"/>
                <w:lang w:eastAsia="fr-FR"/>
              </w:rPr>
              <w:t xml:space="preserve">Accord de l’Union douanière sur la réglementation sanitaire N°28 du 11 décembre 2009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49"/>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6.1</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Décision n°299 du 28 mai 2010 portant sur les mesures sanitaires dans l'Union Douanière</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67"/>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6.2</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La liste unie des marchandises soumises au contrôle (à la surveillance) sanitaire et épidémiologique à la frontière et sur le territoire de l'Union Douanière approuvée par la Décision n°299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599"/>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6.3</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Chapitre I "Conditions générales" des exigences sanitaires, épidémiologique et hygiénique unies qui s'appliquent aux marchandises soumises au contrôle (à la surveillance) sanitaire et épidémiologique approuvé par la Décision n°299:</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23"/>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6.4</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Partie 1 du chapitre II "Exigences sur la sécurité et qualité nutritionnel pour les produits alimentaires" des exigences sanitaires, épidémiologique et hygiénique unies qui s'appliquent aux marchandises soumises au contrôle (à la surveillance) sanitaire et épidémiologique approuvé par la Décision n°299:</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17"/>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6.5</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Document uni confirmant la sécurité des produits (marchandises) (forme unie d'enregistrement) approuvé par la Décision n°299:</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25"/>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6.6</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Modification n°586 du 03 mars 2011</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257"/>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6.7</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Modification n°206 du 06 novembre 2012</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564"/>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6.8</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La réglementation sur la procédure  de contrôle sanitaire et épidémiologique des personnes et du transport à la frontière de l'Union Douanière et des marchandises soumises au contrôle à la frontière de l'Union Douanière et sur le territoire de l'Union Douanière  approuvée par la Décision n°299:</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17"/>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7</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sz w:val="16"/>
                <w:szCs w:val="16"/>
                <w:lang w:eastAsia="fr-FR"/>
              </w:rPr>
            </w:pPr>
            <w:r>
              <w:rPr>
                <w:rFonts w:ascii="Arial" w:cs="Arial" w:eastAsia="Times New Roman" w:hAnsi="Arial"/>
                <w:sz w:val="16"/>
                <w:szCs w:val="16"/>
                <w:lang w:eastAsia="fr-FR"/>
              </w:rPr>
              <w:t>Le règlement technique de l'Union Douanière "Sur la sécurité alimentaire de la viande et produits à base de viande" TP TC 034/2013 approuvé par la Décision n° 68 du 09 octobre 2013</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08"/>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8</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sz w:val="16"/>
                <w:szCs w:val="16"/>
                <w:lang w:eastAsia="fr-FR"/>
              </w:rPr>
            </w:pPr>
            <w:r>
              <w:rPr>
                <w:rFonts w:ascii="Arial" w:cs="Arial" w:eastAsia="Times New Roman" w:hAnsi="Arial"/>
                <w:sz w:val="16"/>
                <w:szCs w:val="16"/>
                <w:lang w:eastAsia="fr-FR"/>
              </w:rPr>
              <w:t xml:space="preserve">Le Règlement technique de l'Union Douanière TP TC 021/2011 sur la sécurité de la production alimentaire approuvé par la Décision 880 du 09/12/2011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29"/>
          <w:cantSplit w:val="false"/>
        </w:trPr>
        <w:tc>
          <w:tcPr>
            <w:tcW w:type="dxa" w:w="766"/>
            <w:tcBorders>
              <w:top w:color="00000A" w:space="0" w:sz="4" w:val="single"/>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9</w:t>
            </w:r>
          </w:p>
        </w:tc>
        <w:tc>
          <w:tcPr>
            <w:tcW w:type="dxa" w:w="7590"/>
            <w:tcBorders>
              <w:top w:color="00000A" w:space="0" w:sz="4" w:val="single"/>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Le Règlement technique de l’Union Douanière TP TC 022/2011 sur l’Etiquetage de produits alimentaires approuvé par la Décision 881 du 09/12/2011</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429"/>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10</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Le Règlement technique de l’Union Douanière TP TC 029/2012 sur la sécurité additifs et arômes alimentaires approuvé par la Décision 58 du 20/07/2012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429"/>
          <w:cantSplit w:val="false"/>
        </w:trPr>
        <w:tc>
          <w:tcPr>
            <w:tcW w:type="dxa" w:w="766"/>
            <w:tcBorders>
              <w:top w:color="00000A" w:space="0" w:sz="4" w:val="single"/>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11</w:t>
            </w:r>
          </w:p>
        </w:tc>
        <w:tc>
          <w:tcPr>
            <w:tcW w:type="dxa" w:w="7590"/>
            <w:tcBorders>
              <w:top w:color="00000A" w:space="0" w:sz="4" w:val="single"/>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Le Règlement technique de l’Union Douanière TP TC 005/2011 sur l’emballage approuvé par la Décision 769 du 16/08/2011 </w:t>
            </w:r>
          </w:p>
        </w:tc>
        <w:tc>
          <w:tcPr>
            <w:tcW w:type="dxa" w:w="348"/>
            <w:tcBorders>
              <w:top w:color="00000A" w:space="0" w:sz="4" w:val="single"/>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color="00000A" w:space="0" w:sz="4" w:val="single"/>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429"/>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12</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Le Règlement technique TP TC 027/2012 sur les produits alimentaires spécialisés approuvé par la Décision 34 du 15/06/2012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429"/>
          <w:cantSplit w:val="false"/>
        </w:trPr>
        <w:tc>
          <w:tcPr>
            <w:tcW w:type="dxa" w:w="766"/>
            <w:tcBorders>
              <w:top w:color="00000A" w:space="0" w:sz="4" w:val="single"/>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13</w:t>
            </w:r>
          </w:p>
        </w:tc>
        <w:tc>
          <w:tcPr>
            <w:tcW w:type="dxa" w:w="7590"/>
            <w:tcBorders>
              <w:top w:color="00000A" w:space="0" w:sz="4" w:val="single"/>
              <w:left w:val="nil"/>
              <w:bottom w:color="00000A" w:space="0" w:sz="4" w:val="single"/>
              <w:right w:color="00000A" w:space="0" w:sz="4" w:val="single"/>
            </w:tcBorders>
            <w:shd w:fill="FFFFFF" w:val="clear"/>
            <w:vAlign w:val="bottom"/>
          </w:tcPr>
          <w:p>
            <w:pPr>
              <w:pStyle w:val="style21"/>
              <w:rPr>
                <w:rFonts w:ascii="Arial" w:cs="Arial" w:eastAsia="Times New Roman" w:hAnsi="Arial"/>
                <w:sz w:val="16"/>
                <w:szCs w:val="16"/>
                <w:lang w:eastAsia="fr-FR"/>
              </w:rPr>
            </w:pPr>
            <w:r>
              <w:rPr>
                <w:rFonts w:ascii="Arial" w:cs="Arial" w:eastAsia="Times New Roman" w:hAnsi="Arial"/>
                <w:sz w:val="16"/>
                <w:szCs w:val="16"/>
                <w:lang w:eastAsia="fr-FR"/>
              </w:rPr>
              <w:t xml:space="preserve">Le Règlement sur le marquage unique de la circulation des produits sur le marché des États membres de l’Union douanière approuvé Par décision n° 711 du 15/07/2011 </w:t>
            </w:r>
          </w:p>
        </w:tc>
        <w:tc>
          <w:tcPr>
            <w:tcW w:type="dxa" w:w="348"/>
            <w:tcBorders>
              <w:top w:color="00000A" w:space="0" w:sz="4" w:val="single"/>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c>
          <w:tcPr>
            <w:tcW w:type="dxa" w:w="367"/>
            <w:tcBorders>
              <w:top w:color="00000A" w:space="0" w:sz="4" w:val="single"/>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r>
          </w:p>
        </w:tc>
      </w:tr>
      <w:tr>
        <w:trPr>
          <w:trHeight w:hRule="atLeast" w:val="429"/>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14</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Ordonnance N° 24 du Médecin principal des Affaires sanitaires de la Fédération de Russie en date du 26 septembre 2001 « Sur la mise en vigueur des règles sanitaires»  Règles et normes sanitaires et épidémiologiques SanPiN 2.1.4.1074-01 « L’eau potable. Spécifications sanitaires concernant la qualité de l’eau des réseaux centralisés d’alimentation en eau potable. Contrôle de la qualité »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949"/>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16</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SanPin 2.1.4.1175-02 25.11.02 Moscou No40 " Les exigences en matière d'hygiène de qualité d'eau d'approvisionnement en eau autonome. Protection sanitaire des sources " règlementation sanitaire et épidémiologique d'état de la Fédération de Russie règles et normes sanitaires et épidémiologiques d'état 2.1.4. Eau potable et approvisionnement en eau des collectivités locales exigences en matière d'hygiène de qualité d'eau d'approvisionnement en eau autonome protection sanitaire des sources règles et normes sanitaires et épidémiologique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398"/>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17</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 xml:space="preserve">SanPin 2.3.2.1078-01 "Matières premières des aliments et aliments. Règles minimales en matière d'hygiène concernant la sécurité et la valeur nutritionnelle des aliments. Règles et normes sanitaires et épidémiologiques" </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06"/>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18</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Les règles de l'inspection vétérinaire des animaux d'abattage et l'expertise vétérinaire et sanitaire des viandes et de produits à base de viande (ministère de l'Agriculture de l'URSS le 27 décembre 1983)</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271"/>
          <w:cantSplit w:val="false"/>
        </w:trPr>
        <w:tc>
          <w:tcPr>
            <w:tcW w:type="dxa" w:w="766"/>
            <w:tcBorders>
              <w:top w:color="00000A" w:space="0" w:sz="4" w:val="single"/>
              <w:left w:color="00000A" w:space="0" w:sz="4" w:val="single"/>
              <w:bottom w:color="00000A" w:space="0" w:sz="4" w:val="single"/>
              <w:right w:color="00000A" w:space="0" w:sz="4" w:val="single"/>
            </w:tcBorders>
            <w:shd w:fill="DBE5F1"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19</w:t>
            </w:r>
          </w:p>
        </w:tc>
        <w:tc>
          <w:tcPr>
            <w:tcW w:type="dxa" w:w="7590"/>
            <w:tcBorders>
              <w:top w:color="00000A" w:space="0" w:sz="4" w:val="single"/>
              <w:left w:val="nil"/>
              <w:bottom w:color="00000A" w:space="0" w:sz="4" w:val="single"/>
              <w:right w:color="00000A" w:space="0" w:sz="4" w:val="single"/>
            </w:tcBorders>
            <w:shd w:fill="DBE5F1"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bookmarkStart w:id="0" w:name="_GoBack"/>
            <w:bookmarkEnd w:id="0"/>
            <w:r>
              <w:rPr>
                <w:rFonts w:ascii="Arial" w:cs="Arial" w:eastAsia="Times New Roman" w:hAnsi="Arial"/>
                <w:color w:val="000000"/>
                <w:sz w:val="16"/>
                <w:szCs w:val="16"/>
                <w:lang w:eastAsia="fr-FR"/>
              </w:rPr>
              <w:t>L'inspection vétérinaire et sanitaire des produits d'abattage des animaux - indications vétérinaires de méthodes (Fédération de Russie 16.05.2000 №13-7-2/2012)</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r>
        <w:trPr>
          <w:trHeight w:hRule="atLeast" w:val="461"/>
          <w:cantSplit w:val="false"/>
        </w:trPr>
        <w:tc>
          <w:tcPr>
            <w:tcW w:type="dxa" w:w="766"/>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spacing w:after="0" w:before="0" w:line="100" w:lineRule="atLeast"/>
              <w:contextualSpacing w:val="false"/>
              <w:jc w:val="center"/>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20</w:t>
            </w:r>
          </w:p>
        </w:tc>
        <w:tc>
          <w:tcPr>
            <w:tcW w:type="dxa" w:w="7590"/>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sz w:val="16"/>
                <w:szCs w:val="16"/>
                <w:lang w:eastAsia="fr-FR"/>
              </w:rPr>
            </w:pPr>
            <w:r>
              <w:rPr>
                <w:rFonts w:ascii="Arial" w:cs="Arial" w:eastAsia="Times New Roman" w:hAnsi="Arial"/>
                <w:color w:val="000000"/>
                <w:sz w:val="16"/>
                <w:szCs w:val="16"/>
                <w:lang w:eastAsia="fr-FR"/>
              </w:rPr>
              <w:t>Les règles vétérinaires et sanitaires pour les entreprises (ateliers de découpe) d'abattage de volaille et production de produits avicoles - Inspection sanitaire de l'URSS du 6 mai 1987 № 4261-87</w:t>
            </w:r>
          </w:p>
        </w:tc>
        <w:tc>
          <w:tcPr>
            <w:tcW w:type="dxa" w:w="348"/>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c>
          <w:tcPr>
            <w:tcW w:type="dxa" w:w="367"/>
            <w:tcBorders>
              <w:top w:val="nil"/>
              <w:left w:val="nil"/>
              <w:bottom w:color="00000A" w:space="0" w:sz="4" w:val="single"/>
              <w:right w:color="00000A" w:space="0" w:sz="4" w:val="single"/>
            </w:tcBorders>
            <w:shd w:fill="FFFFFF" w:val="clear"/>
            <w:vAlign w:val="bottom"/>
          </w:tcPr>
          <w:p>
            <w:pPr>
              <w:pStyle w:val="style0"/>
              <w:spacing w:after="0" w:before="0" w:line="100" w:lineRule="atLeast"/>
              <w:contextualSpacing w:val="false"/>
              <w:rPr>
                <w:rFonts w:ascii="Arial" w:cs="Arial" w:eastAsia="Times New Roman" w:hAnsi="Arial"/>
                <w:color w:val="000000"/>
                <w:lang w:eastAsia="fr-FR"/>
              </w:rPr>
            </w:pPr>
            <w:r>
              <w:rPr>
                <w:rFonts w:ascii="Arial" w:cs="Arial" w:eastAsia="Times New Roman" w:hAnsi="Arial"/>
                <w:color w:val="000000"/>
                <w:lang w:eastAsia="fr-FR"/>
              </w:rPr>
              <w:t> </w:t>
            </w:r>
          </w:p>
        </w:tc>
      </w:tr>
    </w:tbl>
    <w:p>
      <w:pPr>
        <w:pStyle w:val="style0"/>
        <w:rPr/>
      </w:pPr>
      <w:r>
        <w:rPr/>
      </w:r>
    </w:p>
    <w:sectPr>
      <w:type w:val="nextPage"/>
      <w:pgSz w:h="16838" w:w="11906"/>
      <w:pgMar w:bottom="1417" w:footer="0" w:gutter="0" w:header="0" w:left="1417" w:right="1417" w:top="426"/>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225"/>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Mangal" w:eastAsia="Microsoft YaHei"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Default"/>
    <w:next w:val="style21"/>
    <w:pPr>
      <w:widowControl/>
      <w:suppressAutoHyphens w:val="true"/>
      <w:spacing w:after="0" w:before="0" w:line="100" w:lineRule="atLeast"/>
      <w:contextualSpacing w:val="false"/>
    </w:pPr>
    <w:rPr>
      <w:rFonts w:ascii="Times New Roman" w:cs="Times New Roman" w:eastAsia="Calibri" w:hAnsi="Times New Roman"/>
      <w:color w:val="000000"/>
      <w:sz w:val="24"/>
      <w:szCs w:val="24"/>
      <w:lang w:bidi="ar-SA" w:eastAsia="en-US"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2014-07-29T15:52:00Z</dcterms:created>
  <dc:creator>KRIVOSHEEVA Inna</dc:creator>
  <cp:lastModifiedBy>KRIVOSHEEVA Inna</cp:lastModifiedBy>
  <cp:lastPrinted>2014-07-29T16:17:00Z</cp:lastPrinted>
  <dcterms:modified xsi:type="dcterms:W3CDTF">2015-02-17T14:32:00Z</dcterms:modified>
  <cp:revision>7</cp:revision>
</cp:coreProperties>
</file>