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4EA" w:rsidRPr="0083583E" w:rsidRDefault="007D34EA" w:rsidP="00A7396A">
      <w:pPr>
        <w:widowControl w:val="0"/>
        <w:autoSpaceDE w:val="0"/>
        <w:autoSpaceDN w:val="0"/>
        <w:adjustRightInd w:val="0"/>
        <w:spacing w:after="0" w:line="240" w:lineRule="auto"/>
        <w:jc w:val="right"/>
        <w:outlineLvl w:val="0"/>
        <w:rPr>
          <w:rFonts w:ascii="Times New Roman" w:hAnsi="Times New Roman" w:cs="Arial"/>
          <w:noProof/>
          <w:sz w:val="20"/>
          <w:lang w:eastAsia="fr-FR"/>
        </w:rPr>
      </w:pPr>
      <w:r w:rsidRPr="0083583E">
        <w:rPr>
          <w:rFonts w:ascii="Times New Roman" w:hAnsi="Times New Roman"/>
          <w:noProof/>
          <w:sz w:val="20"/>
          <w:lang w:eastAsia="fr-FR"/>
        </w:rPr>
        <w:t>Approuvées</w:t>
      </w:r>
    </w:p>
    <w:p w:rsidR="007D34EA" w:rsidRPr="0083583E" w:rsidRDefault="007D34EA"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83583E">
        <w:rPr>
          <w:rFonts w:ascii="Times New Roman" w:hAnsi="Times New Roman"/>
          <w:noProof/>
          <w:sz w:val="20"/>
          <w:lang w:eastAsia="fr-FR"/>
        </w:rPr>
        <w:t>par décision n° 317 de la Commission</w:t>
      </w:r>
    </w:p>
    <w:p w:rsidR="007D34EA" w:rsidRPr="0083583E" w:rsidRDefault="007D34EA"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83583E">
        <w:rPr>
          <w:rFonts w:ascii="Times New Roman" w:hAnsi="Times New Roman"/>
          <w:noProof/>
          <w:sz w:val="20"/>
          <w:lang w:eastAsia="fr-FR"/>
        </w:rPr>
        <w:t>de l’Union douanière</w:t>
      </w:r>
    </w:p>
    <w:p w:rsidR="007D34EA" w:rsidRPr="0083583E" w:rsidRDefault="007D34EA"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83583E">
        <w:rPr>
          <w:rFonts w:ascii="Times New Roman" w:hAnsi="Times New Roman"/>
          <w:noProof/>
          <w:sz w:val="20"/>
          <w:lang w:eastAsia="fr-FR"/>
        </w:rPr>
        <w:t xml:space="preserve">du 18 juin 2010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b/>
          <w:bCs/>
          <w:noProof/>
          <w:sz w:val="16"/>
          <w:lang w:eastAsia="fr-FR"/>
        </w:rPr>
      </w:pPr>
      <w:bookmarkStart w:id="0" w:name="Par1661"/>
      <w:bookmarkEnd w:id="0"/>
      <w:r w:rsidRPr="0083583E">
        <w:rPr>
          <w:rFonts w:ascii="Times New Roman" w:hAnsi="Times New Roman"/>
          <w:b/>
          <w:bCs/>
          <w:noProof/>
          <w:sz w:val="16"/>
          <w:lang w:eastAsia="fr-FR"/>
        </w:rPr>
        <w:t>EXIGENCES VÉTÉRINAIRES (VÉTÉRINAIRES ET SANITAIRES) COMMUNES</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b/>
          <w:bCs/>
          <w:noProof/>
          <w:sz w:val="16"/>
          <w:lang w:eastAsia="fr-FR"/>
        </w:rPr>
      </w:pPr>
      <w:r w:rsidRPr="0083583E">
        <w:rPr>
          <w:rFonts w:ascii="Times New Roman" w:hAnsi="Times New Roman"/>
          <w:b/>
          <w:bCs/>
          <w:noProof/>
          <w:sz w:val="16"/>
          <w:lang w:eastAsia="fr-FR"/>
        </w:rPr>
        <w:t>POUR LES MARCHANDISES SOUMISES AU CONTRÔLE</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b/>
          <w:bCs/>
          <w:noProof/>
          <w:sz w:val="16"/>
          <w:lang w:eastAsia="fr-FR"/>
        </w:rPr>
      </w:pPr>
      <w:r w:rsidRPr="0083583E">
        <w:rPr>
          <w:rFonts w:ascii="Times New Roman" w:hAnsi="Times New Roman"/>
          <w:b/>
          <w:bCs/>
          <w:noProof/>
          <w:sz w:val="16"/>
          <w:lang w:eastAsia="fr-FR"/>
        </w:rPr>
        <w:t>(À LA SURVEILLANCE) VÉTÉRINAIRE</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les décisions de la Commission de l’Union douanière</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du 17.08.2010 n° 342, du 18.11.2010 n° 455,</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du 02.03.2011 n° 569, du 07.04.2011 n° 623,</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du 15.07.2011 n° 726, du 18.10.2011 n° 830,</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du 09.12.2011 n° 893,</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par les décisions du Collège de la Commission économique eurasienne</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du 04.12.2012 n° 254, du 12.12.2012 n° 274,</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du 25.12.2012 n° 307, du 10.09.2013 n° 192,</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du 29.10.2013 n° 244, du 10.12.2013 n° 294,</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du 11.02.2014 n° 18)</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exigences vétérinaires (vétérinaires et sanitaires) communes pour les marchandises soumises au contrôle (à la surveillance) vétérinaire (ci-après</w:t>
      </w:r>
      <w:r>
        <w:rPr>
          <w:rFonts w:ascii="Times New Roman" w:hAnsi="Times New Roman"/>
          <w:noProof/>
          <w:sz w:val="20"/>
          <w:lang w:eastAsia="fr-FR"/>
        </w:rPr>
        <w:t> :</w:t>
      </w:r>
      <w:r w:rsidRPr="0083583E">
        <w:rPr>
          <w:rFonts w:ascii="Times New Roman" w:hAnsi="Times New Roman"/>
          <w:noProof/>
          <w:sz w:val="20"/>
          <w:lang w:eastAsia="fr-FR"/>
        </w:rPr>
        <w:t xml:space="preserve"> </w:t>
      </w:r>
      <w:bookmarkStart w:id="1" w:name="_GoBack"/>
      <w:r w:rsidRPr="0083583E">
        <w:rPr>
          <w:rFonts w:ascii="Times New Roman" w:hAnsi="Times New Roman"/>
          <w:noProof/>
          <w:sz w:val="20"/>
          <w:lang w:eastAsia="fr-FR"/>
        </w:rPr>
        <w:t>«</w:t>
      </w:r>
      <w:bookmarkEnd w:id="1"/>
      <w:r w:rsidRPr="0083583E">
        <w:rPr>
          <w:rFonts w:ascii="Times New Roman" w:hAnsi="Times New Roman"/>
          <w:noProof/>
          <w:sz w:val="20"/>
          <w:lang w:eastAsia="fr-FR"/>
        </w:rPr>
        <w:t xml:space="preserve"> exigences ») et figurant sur la </w:t>
      </w:r>
      <w:hyperlink w:anchor="Par63" w:tooltip="Ссылка на текущий документ" w:history="1">
        <w:r w:rsidRPr="0083583E">
          <w:rPr>
            <w:rFonts w:ascii="Times New Roman" w:hAnsi="Times New Roman"/>
            <w:noProof/>
            <w:sz w:val="20"/>
            <w:lang w:eastAsia="fr-FR"/>
          </w:rPr>
          <w:t>liste</w:t>
        </w:r>
      </w:hyperlink>
      <w:r w:rsidRPr="0083583E">
        <w:rPr>
          <w:rFonts w:ascii="Times New Roman" w:hAnsi="Times New Roman"/>
          <w:noProof/>
          <w:sz w:val="20"/>
          <w:lang w:eastAsia="fr-FR"/>
        </w:rPr>
        <w:t xml:space="preserve"> unifiée des marchandises soumises au contrôle (à la surveillance) vétérinaire (ci-après</w:t>
      </w:r>
      <w:r>
        <w:rPr>
          <w:rFonts w:ascii="Times New Roman" w:hAnsi="Times New Roman"/>
          <w:noProof/>
          <w:sz w:val="20"/>
          <w:lang w:eastAsia="fr-FR"/>
        </w:rPr>
        <w:t> :</w:t>
      </w:r>
      <w:r w:rsidRPr="0083583E">
        <w:rPr>
          <w:rFonts w:ascii="Times New Roman" w:hAnsi="Times New Roman"/>
          <w:noProof/>
          <w:sz w:val="20"/>
          <w:lang w:eastAsia="fr-FR"/>
        </w:rPr>
        <w:t xml:space="preserve"> « marchandises soumises au contrôle »), ont été élaborées dans le but de la réalisation de l’Accord de l’Union douanière sur les mesures vétérinaires et sanitaires du 11 décembre 2009 et afin de garantir la protection du territoire douanier de l’Union douanière contre l’importation et la propagation des agents pathogènes de maladies contagieuses animales, notamment de maladies communes à l’homme et à l’animal, et des marchandises qui ne répondent pas aux Exigences vétérinaires communes.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Aux fins du présent document, la Partie est un État membre de l’Union douanière.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 w:name="Par1681"/>
      <w:bookmarkEnd w:id="2"/>
      <w:r w:rsidRPr="0083583E">
        <w:rPr>
          <w:rFonts w:ascii="Times New Roman" w:hAnsi="Times New Roman"/>
          <w:noProof/>
          <w:sz w:val="20"/>
          <w:lang w:eastAsia="fr-FR"/>
        </w:rPr>
        <w:t>Termes utilisés dans les Exigences vétérinaires</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(vétérinaires et sanitaires) communes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Régionalisation » – définition de l’état d’un pays ou de son territoire administratif (république, région, pays, terre, conté, état, province, district etc.) reconnu indemne ou non indemne des maladies contagieuses animales figurant au registre des maladies dangereuses et soumises à la mise en quarantaine de la Partie et - pour les objets de contrôle des pays tiers - des maladies indiquées dans les présentes Exigences.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 régionalisation se déroule selon les recommandations de l’Organisation Mondiale de la Santé Animale (ci-après</w:t>
      </w:r>
      <w:r>
        <w:rPr>
          <w:rFonts w:ascii="Times New Roman" w:hAnsi="Times New Roman"/>
          <w:noProof/>
          <w:sz w:val="20"/>
          <w:lang w:eastAsia="fr-FR"/>
        </w:rPr>
        <w:t> :</w:t>
      </w:r>
      <w:r w:rsidRPr="0083583E">
        <w:rPr>
          <w:rFonts w:ascii="Times New Roman" w:hAnsi="Times New Roman"/>
          <w:noProof/>
          <w:sz w:val="20"/>
          <w:lang w:eastAsia="fr-FR"/>
        </w:rPr>
        <w:t xml:space="preserve"> OIE).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Entreprise » – objet de contrôle (bâtiment, construction, bateau etc.) procédant à l’abattage d’animaux, ainsi qu’à la production, à la transformation, à la conservation des marchandises soumises au contrôle, à l’exception des animaux.</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Entreprises d’insémination artificielle » – entreprise œuvrant dans la production, la conservation, la transformation du matériel génétique.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Animaux de production » – animaux utilisés pour la fabrication de produits destinés à l’alimentation.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Exploitation » – bâtiment (construction, édifice), parc animalier, ferme, cirque ou terrain destiné à la conservation des animaux.</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Autorités compétentes » – autorités et établissements d’État des Parties exerçant leur activité en matière vétérinaire.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Stamping out » - ensemble de mesures effectuées sous le contrôle de l’autorité compétente en matière vétérinaire, comprenant la mise à mort des animaux malades et infectés du troupeau et, si nécessaire, des animaux d’autres troupeaux, pouvant être en contact direct ou indirect susceptible de conduire à la transmission de l’agent pathogène. Tous les animaux suspects, qu’ils soient vaccinés ou pas, doivent être abattus, leurs carcasses doivent être éliminées par l’incinération, l’inhumation ou tout autre moyen permettant d’empêcher la propagation de l’infection par des carcasses ou produits issus de l’abattage des animaux.</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inséré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 « stamping out » comprend le nettoyage et la désinfection conformément aux procédures prévues par le Code OIE.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inséré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 w:name="Par1697"/>
      <w:bookmarkEnd w:id="3"/>
      <w:r w:rsidRPr="0083583E">
        <w:rPr>
          <w:rFonts w:ascii="Times New Roman" w:hAnsi="Times New Roman"/>
          <w:noProof/>
          <w:sz w:val="20"/>
          <w:lang w:eastAsia="fr-FR"/>
        </w:rPr>
        <w:t>Dispositions générales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marchandises soumises au contrôle, importées sur le territoire douanier de l’Union douanière, sont régies par les mesures réglementaires indiquées au point I du registre à l’annexe n° 1 jusqu’à l’adhésion de la République du Kazakhstan à l’Organisation mondiale du commerce, et par les mesures indiquées au point II dudit registre à compter de l’adhésion de la République du Kazakhstan à l’Organisation mondiale du commerce.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(premier paragraphe selon la version approuvée par la décision n° 294 du Collège de la Commission économique eurasienne du 10.12.2013)</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 transport des marchandises soumises au contrôle d’une Partie à l’autre (ci-après</w:t>
      </w:r>
      <w:r>
        <w:rPr>
          <w:rFonts w:ascii="Times New Roman" w:hAnsi="Times New Roman"/>
          <w:noProof/>
          <w:sz w:val="20"/>
          <w:lang w:eastAsia="fr-FR"/>
        </w:rPr>
        <w:t> :</w:t>
      </w:r>
      <w:r w:rsidRPr="0083583E">
        <w:rPr>
          <w:rFonts w:ascii="Times New Roman" w:hAnsi="Times New Roman"/>
          <w:noProof/>
          <w:sz w:val="20"/>
          <w:lang w:eastAsia="fr-FR"/>
        </w:rPr>
        <w:t xml:space="preserve"> transport entre les Parties) peut être réalisé par des organisations et des personnes chargées de la production, de la transformation et (ou) de la conservation des marchandises soumises au contrôle, inscrites au Registre des organisations et des personnes chargées de la production, de la transformation et (ou) de la conservation des marchandises transportées d’une Partie à l’autre (ci-après</w:t>
      </w:r>
      <w:r>
        <w:rPr>
          <w:rFonts w:ascii="Times New Roman" w:hAnsi="Times New Roman"/>
          <w:noProof/>
          <w:sz w:val="20"/>
          <w:lang w:eastAsia="fr-FR"/>
        </w:rPr>
        <w:t> :</w:t>
      </w:r>
      <w:r w:rsidRPr="0083583E">
        <w:rPr>
          <w:rFonts w:ascii="Times New Roman" w:hAnsi="Times New Roman"/>
          <w:noProof/>
          <w:sz w:val="20"/>
          <w:lang w:eastAsia="fr-FR"/>
        </w:rPr>
        <w:t xml:space="preserve"> Registre des entreprises de l’Union douanière).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623 de la Commission de l’Union douanière  du 07.04.2011  ,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L’importation des marchandises soumises au contrôle sur le territoire douanier de l’Union douanière et le transport de celles-ci entre les Parties se déroulent conformément au </w:t>
      </w:r>
      <w:hyperlink w:anchor="Par698" w:tooltip="Ссылка на текущий документ" w:history="1">
        <w:r w:rsidRPr="0083583E">
          <w:rPr>
            <w:rFonts w:ascii="Times New Roman" w:hAnsi="Times New Roman"/>
            <w:noProof/>
            <w:sz w:val="20"/>
            <w:lang w:eastAsia="fr-FR"/>
          </w:rPr>
          <w:t>Règlement</w:t>
        </w:r>
      </w:hyperlink>
      <w:r w:rsidRPr="0083583E">
        <w:rPr>
          <w:rFonts w:ascii="Times New Roman" w:hAnsi="Times New Roman"/>
          <w:noProof/>
          <w:sz w:val="20"/>
          <w:lang w:eastAsia="fr-FR"/>
        </w:rPr>
        <w:t xml:space="preserve"> relatif aux modalités unifiées du contrôle vétérinaire à la frontière douanière de l’Union douanière et sur le territoire douanier de l’Union douanière.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L’importation des marchandises soumises au contrôle sur le territoire douanier de l’Union douanière est effectuée en présence d’une autorisation d’importation, délivrée par l’autorité compétente de la Partie, sur le territoire de laquelle les marchandises concernées sont importées, sauf mention contraire dans les présentes exigences. Il n’est pas nécessaire d’obtenir les autorisations des autorités compétentes des Parties pour le transport des marchandises soumises au contrôle sur le territoire douanier commun de l’Union douanière.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L’importation des marchandises soumises au contrôle sur le territoire douanier de l’Union douanière depuis les pays tiers se fait en présence d’un certificat vétérinaire délivré par l’autorité compétente du pays d’expédition, sauf mention contraire dans les présentes Exigences.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autorités compétentes des Parties peuvent établir de façon bilatérale avec les autorités compétentes des pays tiers les modèles des certificats vétérinaires pour les marchandises soumises au contrôle importées sur le territoire douanier commun de l’Union douanière. Les modèles de ces certificats vétérinaires sont adressés à la Commission de l’Union douanière pour qu’ils soient transmis aux points de passage à la frontière douanière de l’Union douanière ou à d’autres endroits déterminés par la législation des Parties.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Les marchandises soumises au contrôle sont transportées du territoire d’une Partie sur le territoire d’une autre Partie (sauf mention contraire dans les présentes Exigences), si elles sont accompagnées d’un certificat vétérinaire délivré par les autorités compétentes des Parties selon les </w:t>
      </w:r>
      <w:hyperlink w:anchor="Par5389" w:tooltip="Ссылка на текущий документ" w:history="1">
        <w:r w:rsidRPr="0083583E">
          <w:rPr>
            <w:rFonts w:ascii="Times New Roman" w:hAnsi="Times New Roman"/>
            <w:noProof/>
            <w:sz w:val="20"/>
            <w:lang w:eastAsia="fr-FR"/>
          </w:rPr>
          <w:t>modèles communs</w:t>
        </w:r>
      </w:hyperlink>
      <w:r w:rsidRPr="0083583E">
        <w:rPr>
          <w:rFonts w:ascii="Times New Roman" w:hAnsi="Times New Roman"/>
          <w:noProof/>
          <w:sz w:val="20"/>
          <w:lang w:eastAsia="fr-FR"/>
        </w:rPr>
        <w:t xml:space="preserve"> approuvés par la Commission de l’Union douanière.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convient d’identifier individuellement et collectivement les animaux importés sur le territoire douanier de l’Union douanière et (ou) transportés entre les Parties. L’importation des animaux non identifiés est autorisée à des fins de conservation par des ménages, collections,  parcs zoologiques, cirques, à des fins d’utilisation en qualité d’animaux expérimentaux.</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L’alimentation des animaux de production importés depuis les pays tiers et (ou) transportés entre les Parties ne doit pas contenir d’éléments provenant des ruminants, à l’exception des éléments dont l’utilisation est autorisée par le Code sanitaire pour les animaux terrestres de l’OIE (ci-après</w:t>
      </w:r>
      <w:r>
        <w:rPr>
          <w:rFonts w:ascii="Times New Roman" w:hAnsi="Times New Roman"/>
          <w:noProof/>
          <w:sz w:val="20"/>
          <w:lang w:eastAsia="fr-FR"/>
        </w:rPr>
        <w:t> :</w:t>
      </w:r>
      <w:r w:rsidRPr="0083583E">
        <w:rPr>
          <w:rFonts w:ascii="Times New Roman" w:hAnsi="Times New Roman"/>
          <w:noProof/>
          <w:sz w:val="20"/>
          <w:lang w:eastAsia="fr-FR"/>
        </w:rPr>
        <w:t xml:space="preserve"> Code OIE).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animaux de production importés depuis les pays tiers et (ou) transportés entre les Parties ne doivent pas être soumis aux effets des œstrogènes naturels ou synthétiques, des substances hormonales et des préparations thyréostatiques, sauf pour des mesures de prévention et de guérison.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Lors de l’importation des animaux depuis les pays tiers et (ou) le transport entre les Parties, compte tenu de la situation épizootique pour les maladies d’animaux sur le territoire administratif du pays (exploitation) depuis lequel l’importation (transport) est réalisée, les animaux importés (transportés) peuvent être vaccinés ou non vaccinés contre les maladies d’animaux indiquées dans les présentes Exigences. La nécessité d’une vaccination d’animaux est déterminée par l’autorité compétente de la Partie sur le territoire de laquelle ils sont importés ou transportés, sauf mention contraire dans les présentes Exigences.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animaux importés depuis les pays tiers ou transportés entre les Parties sont mis en quarantaine pendant 21 jours au minimum dans le pays de l’expéditeur et dans le pays du destinataire, sauf mention différente dans les exigences vétérinaires relatives à l’espèce animale déterminée. La nécessité, la durée et les conditions de la mise en quarantaine sont fixées par l’autorité compétente de la Partie prévue pour l’importation des animaux.</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(douzième paragraphe selon la version approuvée par la décision n° 569 de la Commission de l’Union douanière du 02.03.2011)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examens diagnostiques lors de la quarantaine des animaux sur le territoire des pays tiers sont réalisés à l’aide des méthodes et des moyens recommandés par l’OIE, sauf règlement différent prévu par l’autorité compétente de la Partie sur le territoire de laquelle l’importation des animaux est prévue. Si pendant la quarantaine, les résultats des examens diagnostiques montrent que les animaux présentent des réactions positives (sérologiques, allergiques etc.), l’autorité compétente de la Partie est en droit de refuser l’importation de tout le lot des animaux mis en quarantaine ou celle des animaux qui présentent de telles réactions.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Lors de l’importation sur le territoire douanier de l’Union douanière depuis les pays tiers des animaux officiellement indemnes des maladies visées par les présentes Exigences, les examens diagnostiques de ces animaux pour ces maladies peuvent être omis dans le pays d’expédition. La décision concernée est prise par l’autorité compétente de la Partie sur le territoire de laquelle les animaux sont importés.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examens diagnostiques lors de la mise en quarantaine des animaux pendant leur transport entre les Parties se font conformément aux modalités prévues par le Règlement relatif aux modalités communes des contrôles communs des objets et le prélèvement des échantillons (exemples) de marchandises (production) soumises au contrôle (à la surveillance) vétérinaire. Si au cours des examens sur le territoire du pays d’expédition des résultats positifs ou douteux sont obtenus pour des examens diagnostiques, il convient de le signaler immédiatement à l’autorité compétente du pays de destination. Si au cours des examens sur le territoire du pays de destination, des résultats positifs ou douteux sont obtenus pour des examens diagnostiques, il convient de le signaler immédiatement à l’autorité compétente du pays d’expédition.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animaux peuvent être soumis au traitement contre les ectoparasites et les endoparasites, ce qui doit être consigné sur le certificat vétérinaire.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En ce qui concerne les exigences pour les marchandises soumises au contrôle, importées depuis les pays tiers et (ou) transportées entre les Parties, qui ne sont pas déterminées par les présentes Exigences communes, ce sont les exigences fixées par la législation nationale de la Partie sur le territoire de laquelle les marchandises soumises au contrôle sont importées et (ou) transportées qui s’appliquent. Il est autorisé d’importer et de transporter sur le territoire douanier de l’Union douanière des médicaments pour animaux, des systèmes de diagnostic, des moyens de traitement des animaux contre les parasites et des additifs alimentaires pour animaux, figurant au Registre des médicaments enregistrés pour animaux, des systèmes de diagnostic, des moyens de traitement contre les parasites des animaux et des additifs alimentaires pour animaux.</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moyens de transport utilisés pour le transport des marchandises soumises au contrôle lors de l’importation de celles-ci depuis les pays tiers et lors du transport du territoire d’une Partie sur le territoire d’une autre Partie doivent être traités et préparés conformément aux règles en vigueur dans le pays d’expédition.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 w:name="Par1730"/>
      <w:bookmarkEnd w:id="4"/>
      <w:r w:rsidRPr="0083583E">
        <w:rPr>
          <w:rFonts w:ascii="Times New Roman" w:hAnsi="Times New Roman"/>
          <w:noProof/>
          <w:sz w:val="20"/>
          <w:lang w:eastAsia="fr-FR"/>
        </w:rPr>
        <w:t>Chapitre 1</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bovins de race et des bovins usagers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bovins de race et des bovins usagers en bonne santé, qui ne sont pas vaccinés contre la brucellose, la fièvre aphteuse et qui proviennent des territoires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les décisions de la Commission de l’Union douanière du 18.10.2011 n° 830, du 09.12.2011 n° 893,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Encéphalopathie spongiforme bovine – dans le pays ou sur le territoire administratif, conformément à la régionalisation, avec un risque insignifiant ou contrôlable de la maladie indiquée, selon les recommandations du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Pleuropneumonie contagieuse bovine, stomatite vésiculaire, fièvre catarrhale, peste bovine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Dermatose nodulaire contagieuse – au cours des derniers 3 ans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Leucose enzootique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Brucellose, tuberculose et paratuberculose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Leptospirose – au cours des 3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L’alimentation pour animaux ne doit pas contenir de protéines de ruminants, à l’exception des substances recommandées par le Code OIE.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Pendant la quarantaine, les animaux subissent des examens diagnostiques pour la brucellose, la tuberculose, la paratuberculose, la leucose enzootique, la trichomonose (T.ferus), la campylobactériose de taureaux (Campylobacter fetus venerealis), la chlamydiose, la leptospirose (s’ils n’ont pas été vaccinés ou traités à des fins de prévention par la dihydrostreptomycine ou toute autre substance enregistrée dans le pays d’exportation produisant l’effet équivalent) ainsi qu’une inspection extérieure quotidienne.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Les animaux présentant des signes de maladies doivent subir des examens cliniques avec la thermométrie quotidienne.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Un examen pour détecter d’autres maladies indiquées par l’OIE ne peut être demandé par l’autorité compétente de la Partie qu’à condition que la Partie concernée mène des programmes de prévention et/ou d’éradication de ces maladies sur son territoire.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(troisième paragraphe selon la version approuvée par la décision n° 893 de la Commission de l’Union douanière du 09.12.2011)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animaux de race sont soumis aux examens complémentaires pour détecter la rhinotrachéite infectieuse et la diarrhée virale bovine (si ces animaux n’ont pas été vaccinés au préalable).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5" w:name="Par1757"/>
      <w:bookmarkEnd w:id="5"/>
      <w:r w:rsidRPr="0083583E">
        <w:rPr>
          <w:rFonts w:ascii="Times New Roman" w:hAnsi="Times New Roman"/>
          <w:noProof/>
          <w:sz w:val="20"/>
          <w:lang w:eastAsia="fr-FR"/>
        </w:rPr>
        <w:t>Chapitre 2</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du sperme des taureaux reproducteurs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le sperme des taureaux reproducteurs, obtenu chez les animaux en bonne santé par des entreprises d’insémination artificielle.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 sperme doit provenir des entreprises situées sur les territoires indemnes des maladies animales contagieuses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bovine, fièvre catarrhale, pleuropneumonie contagieuse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Brucellose, tuberculose, paratuberculose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Rhinotrachéite infectieuse, diarrhée virale, trichomonose (Trichomonas fetus), campylobactériose (Campylobacter fetus venerealis), leucose enzootique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893 de la Commission de l’Union douanière du 09.12.2011)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Leptospirose – au cours des 3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taureaux reproducteurs ne doivent pas recevoir de fourrage contenant des protéines de ruminants, à l’exception des substances recommandées par le Code OIE.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taureaux reproducteurs doivent rester dans des centres de prélèvement du sperme et/ou dans des entreprises d’insémination artificielle pendant au moins 30 jours avant le prélèvement du sperme et ne doivent pas servir, pendant cette période, à l’insémination naturelle.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(premier paragraphe selon la version approuvée par la décision n° 893 de la Commission de l’Union douanière du 09.12.2011)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taureaux reproducteurs ne peuvent pas se trouver ensemble avec des ovins dans une entreprise d’insémination artificielle.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Lorsque les taureaux reproducteurs sont placés dans un centre de prélèvement du sperme, ils subissent, avant le prélèvement du sperme, des examens (selon les méthodes et les délais recommandés par l’OIE) pour la tuberculose, la paratuberculose, la brucellose, la leptospirose (s’ils n’ont pas été vaccinés ou traités à des fins de prévention par la dihydrostreptomycine ou toute autre substance enregistrée dans le pays d’exportation produisant l’effet équivalent), la leucose enzootique, la fièvre catarrhale, la rhinotrachéite infectieuse, la diarrhée virale, la trichomonose (T.ferus), la campylobactériose de taureaux (Campylobacter fetus venerealis), la chlamydiose.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Un examen pour détecter d’autres maladies indiquées par l’OIE ne peut être demandé par l’autorité compétente de la Partie qu’à condition que la Partie concernée mène des programmes de prévention et/ou d’éradication de ces maladies sur son territoire.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(sixième paragraphe selon la version approuvée par la décision n° 893 de la Commission de l’Union douanière du 09.12.2011)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 septième paragraphe est éliminé. - Décision n° 893 de la Commission de l’Union douanière du 09.12.2011.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 sperme doit être prélevé, traité, conservé et transporté conformément aux recommandations du Code OIE.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(huitième paragraphe selon la version approuvée par la décision n° 893 de la Commission de l’Union douanière du 09.12.2011)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6" w:name="Par1788"/>
      <w:bookmarkEnd w:id="6"/>
      <w:r w:rsidRPr="0083583E">
        <w:rPr>
          <w:rFonts w:ascii="Times New Roman" w:hAnsi="Times New Roman"/>
          <w:noProof/>
          <w:sz w:val="20"/>
          <w:lang w:eastAsia="fr-FR"/>
        </w:rPr>
        <w:t>Chapitre 3</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embryons bovins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embryons obtenus chez des animaux de race en bonne santé.</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taureaux reproducteurs doivent rester dans des centres de prélèvement du sperme et (ou) dans des centres d’insémination artificielle et les vaches donneuses des embryons doivent rester dans des exploitations, des centres d’insémination artificielle, indemnes des maladies contagieuses animales, pendant 30 jours et rester dans le pays pendant 6 mois au moins avant l’obtention du sperme ou des embryons.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(deuxième paragraphe selon la 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Le sperme destiné à l’insémination des vaches donneuses des embryons doit répondre aux exigences du </w:t>
      </w:r>
      <w:hyperlink w:anchor="Par1757" w:tooltip="Ссылка на текущий документ" w:history="1">
        <w:r w:rsidRPr="0083583E">
          <w:rPr>
            <w:rFonts w:ascii="Times New Roman" w:hAnsi="Times New Roman"/>
            <w:noProof/>
            <w:sz w:val="20"/>
            <w:lang w:eastAsia="fr-FR"/>
          </w:rPr>
          <w:t>chapitre 2</w:t>
        </w:r>
      </w:hyperlink>
      <w:r w:rsidRPr="0083583E">
        <w:rPr>
          <w:rFonts w:ascii="Times New Roman" w:hAnsi="Times New Roman"/>
          <w:noProof/>
          <w:sz w:val="20"/>
          <w:lang w:eastAsia="fr-FR"/>
        </w:rPr>
        <w:t xml:space="preserve"> des présentes Exigences.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(troisième paragraphe selon la 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vaches donneuses doivent se trouver dans l’exploitation au cours des 60 derniers jours avant l’opération de prélèvement des embryons et éviter tout contact avec d’autres animaux importés dans le pays au cours des 12 derniers mois.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embryons doivent provenir d’un pays ou d’un territoire administratif indemne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catarrhale – au cours des 24 derniers mois, avant le début de l’opération de prélèvement des embryons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Stomatite vésiculaire, pleuropneumonie contagieuse, peste bovine – au cours des 24 derniers mois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exploitations chargées du prélèvement des embryons bovins doivent être indemnes des maladies contagieuses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Brucellose, tuberculose – au cours des 6 derniers mois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Leucose enzootique – au cours des 12 derniers mois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Rhinotrachéite infectieuse, trichomonose (Trichomonas fetus), campylobactériose (Campylobacter fetus venerealis), chlamydiose - au cours des 12 derniers mois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254 du Collège de la Commission économique eurasienne du 04.12.2012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Aucun cas de maladies suivantes n’a été déclaré dans les exploitations chargées de l’obtention des embryons bovins</w:t>
      </w:r>
      <w:r>
        <w:rPr>
          <w:rFonts w:ascii="Times New Roman" w:hAnsi="Times New Roman"/>
          <w:noProof/>
          <w:sz w:val="20"/>
          <w:lang w:eastAsia="fr-FR"/>
        </w:rPr>
        <w:t> :</w:t>
      </w:r>
      <w:r w:rsidRPr="0083583E">
        <w:rPr>
          <w:rFonts w:ascii="Times New Roman" w:hAnsi="Times New Roman"/>
          <w:noProof/>
          <w:sz w:val="20"/>
          <w:lang w:eastAsia="fr-FR"/>
        </w:rPr>
        <w:t xml:space="preserve">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Paratuberculose - au cours des 3 dernières années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Leptospirose – au cours des 3 derniers mois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Diarrhée virale bovine - au cours des 6 derniers mois.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(septième paragraphe selon la 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vaches donneuses des embryons doivent subir au moins 1 fois par an des tests de laboratoire (accrédité ou certifié selon la procédure établie) avec l’utilisation des tests diagnostiques qui correspondent aux méthodes approuvées par le pays d’exportation, pour des maladies suivantes</w:t>
      </w:r>
      <w:r>
        <w:rPr>
          <w:rFonts w:ascii="Times New Roman" w:hAnsi="Times New Roman"/>
          <w:noProof/>
          <w:sz w:val="20"/>
          <w:lang w:eastAsia="fr-FR"/>
        </w:rPr>
        <w:t> :</w:t>
      </w:r>
      <w:r w:rsidRPr="0083583E">
        <w:rPr>
          <w:rFonts w:ascii="Times New Roman" w:hAnsi="Times New Roman"/>
          <w:noProof/>
          <w:sz w:val="20"/>
          <w:lang w:eastAsia="fr-FR"/>
        </w:rPr>
        <w:t xml:space="preserve"> tuberculose, paratuberculose, brucellose, leptospirose, leucose enzootique, fièvre catarrhale, diarrhée virale bovine, rhinotrachéite infectieuse, trichomonose, campylobactériose et chlamydiose. Les résultats des tests diagnostiques doivent être négatifs.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(huitième paragraphe selon la 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Après l’obtention des embryons, les vaches donneuses doivent rester sous la surveillance vétérinaire pendant 30 jours au moins.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(neuvième paragraphe selon la 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En cas de détection d’une maladie contagieuse animale visée aux présentes Exigences, l’importation des embryons et (ou) leur transport sur le territoire douanier de l’Union douanière doivent être interdits.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(dixième paragraphe selon la 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embryons doivent être prélevés, conservés et transportés conformément aux recommandations du Code OIE.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7" w:name="Par1832"/>
      <w:bookmarkEnd w:id="7"/>
      <w:r w:rsidRPr="0083583E">
        <w:rPr>
          <w:rFonts w:ascii="Times New Roman" w:hAnsi="Times New Roman"/>
          <w:noProof/>
          <w:sz w:val="20"/>
          <w:lang w:eastAsia="fr-FR"/>
        </w:rPr>
        <w:t>Chapitre 4</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bovins, des ovins et des caprins d’abattoir</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bovins, des ovins, des caprins d’abattoir en bonne santé, qui ne sont pas vaccinés contre la brucellose, la leptospirose et la variole ovine et caprine, provenant des territoires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Encéphalopathie spongiforme bovine – pour les bovins selon les recommandations du Code OIE et la classification du risque de l’encéphalopathie spongiforme bovine dans le pays d’exportation, la zone ou le compartiment d’exportation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274 du Collège de la Commission économique eurasienne du 12.12.2012)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Tremblante ovine - pour les ovins et les caprins selon les recommandations du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274 du Collège de la Commission économique eurasienne du 12.12.2012)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Maedi-visna, arthrite encéphalite – aucun signe clinique n’a été déclaré à la date d’expédition, les maladies n’ont été diagnostiquées ni de façon clinique, ni de façon sérologique chez les ovins et les caprins des troupeaux d’origine au cours des 36 derniers mois, il n’y a eu aucune introduction des ovins et caprins provenant des troupeaux non indemnes de ces maladies pendant la période indiquée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Pleuropneumonie contagieuse bovine et ovine, stomatite vésiculaire, fièvre catarrhale, peste bovine – au cours des 24 derniers mois dans le pays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ovine, dermatose nodulaire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Tuberculose, brucellose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Variole ovine et caprine - au cours des 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Leucose enzootique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Leptospirose - en l’absence de cas enregistrés au cours des 3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Paratuberculose - en l’absence de cas enregistrés au cours des 36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inséré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L’alimentation pour animaux ne doit pas contenir de protéines de ruminants, à l’exception des substances recommandées par le Code OIE.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animaux importés sur le territoire douanier de l’Union douanière et (ou) transportés entre les Parties ne doivent pas être soumis aux effets des œstrogènes naturels ou synthétiques, des substances hormonales, des préparations thyréostatiques, des antibiotiques, des pesticides ainsi que des médicaments administrés avant l’abattage après les délais recommandés par les instructions d’application.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(troisième paragraphe selon la version approuvée par la décision n° 569 de la Commission de l’Union douanière du 02.03.2011)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animaux transportés par la frontière douanière de l’Union douanière ou sur le territoire de l’Union douanière doivent rester en quarantaine pendant 21 jours au moins, subissant pendant ce délai des examens thermométriques et diagnostiques pour la brucellose et la tuberculose.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(quatrième paragraphe selon la 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sur le territoire de l’Union douanière des animaux ayant présenté des résultats négatifs pendant les examens diagnostiques.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L’abattage des animaux pour la viande doit intervenir dans les 72 heures au plus tard après leur arrivée au point de destination.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8" w:name="Par1871"/>
      <w:bookmarkEnd w:id="8"/>
      <w:r w:rsidRPr="0083583E">
        <w:rPr>
          <w:rFonts w:ascii="Times New Roman" w:hAnsi="Times New Roman"/>
          <w:noProof/>
          <w:sz w:val="20"/>
          <w:lang w:eastAsia="fr-FR"/>
        </w:rPr>
        <w:t>Chapitre 5</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ovins et des caprins de race et usagers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ovins et des caprins de race en bonne santé, qui ne sont pas vaccinés contre la brucellose, et qui proviennent des territoires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Tremblante ovine - selon les recommandations du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274 du Collège de la Commission économique eurasienne du 12.12.2012)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des petits ruminants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 sur le territoire d’un tel pays,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bovine, fièvre catarrhale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Variole ovine et caprine - au cours des 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Tuberculose, brucellose, agalactie infectieuse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Listériose, mastite infectieuse, campylobactériose, épididymite ovine (Brucella ovis)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Leptospirose, pleuropneumonie infectieuse  – au cours des 3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Maedi-visna, arthrite encéphalite – aucun signe clinique n’a été déclaré à la date d’expédition, les maladies n’ont été diagnostiquées ni de façon clinique, ni de façon sérologique dans des troupeaux d’origine au cours des 36 derniers mois, il n’y a eu aucune introduction des ovins et caprins provenant des troupeaux non indemnes de ces maladies pendant la période indiquée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inséré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Paratuberculose - en l’absence de cas enregistrés au cours des 36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inséré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L’alimentation pour animaux ne doit pas contenir de protéines de ruminants, à l’exception des substances recommandées par le Code OIE.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Pendant la quarantaine, les animaux subissent des examens cliniques avec la thermométrie quotidienne et des examens diagnostiques pour la brucellose, l’épididymite ovine, la tuberculose, la fièvre catarrhale, la paratuberculose, la chlamydiose, la maladie Maedi-visna, l’adénomatose, l’arthrite encéphalite, la listériose (s’ils n’ont pas été vaccinés ou traités à des fins de prévention par la dihydrostreptomycine ou toute autre substance enregistrée dans le pays d’exportation produisant l’effet équivalent).</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selon la 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Un examen pour détecter d’autres maladies devant être signalées à l’OIE ne peut être demandé par l’autorité compétente de la Partie qu’à condition que la Partie concernée mène des programmes de prévention et (ou) d’éradication de ces maladies sur son territoire.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selon la 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animaux ne doivent pas être soumis aux effets des œstrogènes naturels ou synthétiques, des substances hormonales et des préparations thyréostatiques, sauf pour des mesures de prévention et de guérison.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inséré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9" w:name="Par1907"/>
      <w:bookmarkEnd w:id="9"/>
      <w:r w:rsidRPr="0083583E">
        <w:rPr>
          <w:rFonts w:ascii="Times New Roman" w:hAnsi="Times New Roman"/>
          <w:noProof/>
          <w:sz w:val="20"/>
          <w:lang w:eastAsia="fr-FR"/>
        </w:rPr>
        <w:t>Chapitre 6</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du sperme des moutons, des boucs reproducteurs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le sperme des moutons et boucs reproducteurs, obtenu chez les animaux en bonne santé par des centres d’insémination artificielle, sans vaccination des animaux contre la brucellose.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 et la décision n° 307 dudit Collège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 sperme doit provenir des centres d’insémination artificielle situés sur les territoires indemnes des maladies animales contagieuses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Maedi-Visna, adénomatose, arthrite encéphalite caprine, maladie Border disease, peste de petits ruminants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bovine, fièvre catarrhale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Tuberculose, paratuberculose, variole ovine,  agalactie infectieuse, brucellose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Avortement enzootique des brebis (chlamydiose ovine) – au cours des 24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Mastite infectieuse, épididymite ovine (Brucella ovis)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Leptospirose, pleuropneumonie infectieuse  – au cours des 3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L’alimentation des moutons et des boucs reproducteurs ne doit pas contenir de protéines de ruminants, à l’exception des substances recommandées par le Code OIE.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moutons et les boucs reproducteurs doivent rester dans des centres d’insémination artificielle pendant 30 jours jusqu’au prélèvement du sperme et ne doivent pas être utilisés pendant cette période pour l’insémination naturelle.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moutons et les boucs reproducteurs ne peuvent pas être en contact avec des bovins dans un centre d’insémination artificielle.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Pendant les délais recommandés par l’OIE, avant le prélèvement du sperme, les moutons et les boucs reproducteurs sont examinés pour la tuberculose, la brucellose, l’épididymite ovine, la listériose, la paratuberculose, la chlamydiose, la maladie Maedi-Visna, l’adénomatose, l’arthrite encéphalite caprine et la fièvre catarrhale, l’agalactie infectieuse, la leptospirose, la maladie Border disease et pour d’autres maladies infectieuses, à la demande de l’autorité compétente de la Partie sur le territoire de laquelle le sperme est importé (transporté).</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les décisions de la Commission de l’Union douanière du 02.03.2011 n° 567, du 07.04.2011 n° 623, du 18.10.2011 n° 830,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 sperme ne doit pas contenir de micro-organismes pathogènes et toxicogènes.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 sperme doit être prélevé, conservé et transporté conformément aux recommandations du Code OIE.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0" w:name="Par1941"/>
      <w:bookmarkEnd w:id="10"/>
      <w:r w:rsidRPr="0083583E">
        <w:rPr>
          <w:rFonts w:ascii="Times New Roman" w:hAnsi="Times New Roman"/>
          <w:noProof/>
          <w:sz w:val="20"/>
          <w:lang w:eastAsia="fr-FR"/>
        </w:rPr>
        <w:t>Chapitre 7</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porcins de race et usagers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les porcins de race et usagers en bonne santé, provenant des territoires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 par les décisions du Collège de la Commission économique eurasienne du 04.12.2012 n° 254, du 25.12.2012 n° 307)</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africaine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vésiculaire porcine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classique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d’Aujeszky (pseudorage)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Brucellose porcine, syndrome reproducteur et respiratoire porcin, encéphalomyélite texo-virale porcine (maladie de Teschen ou encéphalomyélite entérovirale porcine), tuberculose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Trichinellose - en l’absence de cas enregistrés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Leptospirose – au cours des 3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Pendant la quarantaine, les animaux subissent des examens cliniques avec la thermométrie selon les paramètres, ainsi que des examens diagnostiques pour la peste porcine classique, le syndrome reproducteur et respiratoire porcin, la brucellose porcine, la maladie d’Aujeszky (pseudorage), la chlamydiose, la gastro-entérite transmissible virale, la tuberculose, la maladie vésiculaire porcine et la leptospirose (s’ils n’ont pas été vaccinés ou traités à des fins de prévention par la dihydrostreptomycine ou toute autre substance enregistrée dans le pays d’exportation produisant l’effet équivalent).</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selon la 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Un examen pour détecter d’autres maladies devant être signalées à l’OIE ne peut être demandé par l’autorité compétente de la Partie qu’à condition que la Partie concernée mène des programmes de prévention et (ou) d’éradication de ces maladies sur son territoire.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selon la 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animaux ne doivent pas être soumis aux effets des œstrogènes naturels ou synthétiques, des substances hormonales et des préparations thyréostatiques, sauf pour des mesures de prévention et de guérison.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inséré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L’alimentation pour animaux ne doit pas contenir de protéines de ruminants, à l’exception des substances recommandées par le Code OIE.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inséré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1" w:name="Par1973"/>
      <w:bookmarkEnd w:id="11"/>
      <w:r w:rsidRPr="0083583E">
        <w:rPr>
          <w:rFonts w:ascii="Times New Roman" w:hAnsi="Times New Roman"/>
          <w:noProof/>
          <w:sz w:val="20"/>
          <w:lang w:eastAsia="fr-FR"/>
        </w:rPr>
        <w:t>Chapitre 8</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du sperme des verrats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le sperme des verrats, obtenu chez les animaux en bonne santé dans des centres de prélèvement du sperme et (ou) dans des centres d’insémination artificielle, sans vaccination des animaux contre la brucellose porcine et la leptospirose.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(premier paragraphe selon la 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 sperme doit provenir des entreprises situées sur les territoires indemnes des maladies animales contagieuses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africaine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vésiculaire porcine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classique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d’Aujeszky (pseudorage)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Tuberculose, brucellose, syndrome reproducteur et respiratoire porcin, encéphalomyélite entérovirale porcine (maladie de Teschen, encéphalomyélite texo-virale porcine)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Leptospirose – au cours des 3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verrats donneurs de sperme doivent rester dans des centres de prélèvement du sperme et (ou) dans des centres d’insémination artificielle pendant au moins 3 mois avant le prélèvement du sperme, ils ne doivent pas servir pendant cette période à l’insémination naturelle.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Lorsque les verrats restent dans un centre de prélèvement du sperme et (ou) dans un centre d’insémination artificielle, ils subissent, avant le prélèvement du sperme, des examens (selon les méthodes et les délais recommandés par le Code OIE) pour la leptospirose (s’ils n’ont pas été traités au préalable à des fins de prévention par la dihydrostreptomycine ou toute autre substance enregistrée dans le pays d’exportation produisant l’effet équivalent), la peste porcine classique, la tuberculose, la brucellose porcine, la maladie d’Aujeszky (pseudorage), la chlamydiose, la maladie vésiculaire porcine, le syndrome reproducteur et respiratoire porcin, la gastro-entérite transmissible virale.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Un examen pour détecter d’autres maladies devant être signalées à l’OIE ne peut être demandé par l’autorité compétente de la Partie qu’à condition que la Partie concernée mène des programmes de prévention et (ou) d’éradication de ces maladies sur son territoire.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 sperme des verrats ne doit pas contenir de micro-organismes pathogènes et toxicogènes.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 sperme doit être prélevé, conservé et transporté conformément aux recommandations du Code OIE.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2" w:name="Par2005"/>
      <w:bookmarkEnd w:id="12"/>
      <w:r w:rsidRPr="0083583E">
        <w:rPr>
          <w:rFonts w:ascii="Times New Roman" w:hAnsi="Times New Roman"/>
          <w:noProof/>
          <w:sz w:val="20"/>
          <w:lang w:eastAsia="fr-FR"/>
        </w:rPr>
        <w:t>Chapitre 9</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porcins d’abattoir</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porcins d’abattoir, cliniquement en bonne santé, provenant des territoires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africaine – au cours des 36 derniers mois dans le pays ou sur le territoire administratif, conformément à la régionalisation, ou au cours des 12 derniers mois en cas de confirmation des données relatives à la surveillance épizootique et entomologique</w:t>
      </w:r>
      <w:r>
        <w:rPr>
          <w:rFonts w:ascii="Times New Roman" w:hAnsi="Times New Roman"/>
          <w:noProof/>
          <w:sz w:val="20"/>
          <w:lang w:eastAsia="fr-FR"/>
        </w:rPr>
        <w:t> ;</w:t>
      </w:r>
      <w:r w:rsidRPr="0083583E">
        <w:rPr>
          <w:rFonts w:ascii="Times New Roman" w:hAnsi="Times New Roman"/>
          <w:noProof/>
          <w:sz w:val="20"/>
          <w:lang w:eastAsia="fr-FR"/>
        </w:rPr>
        <w:t xml:space="preserve">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peste porcine classique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d’Aujeszky (pseudorage)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Tuberculose, brucellose, syndrome reproducteur et respiratoire porcin, encéphalomyélite entérovirale porcine (maladie de Teschen, encéphalomyélite texo-virale porcine)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307 du Collège de la Commission économique eurasienne du 25.12.2012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vésiculaire porcine - au cours des 24 derniers mois dans le pays ou sur le territoire administratif conformément à la régionalisation ou au cours des 9 derniers mois, si le « stamping out » a été réalisé dans le pays ou sur le territoire administratif conformément à la régionalisation, ou au cours des 12 derniers mois après la guérison clinique ou l’épizootie du dernier animal infecté, si le « stamping out » n’a pas été réalisé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inséré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Trichinellose - en l’absence de cas enregistrés au cours des 6 derniers mois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inséré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L’abattage des animaux pour la viande doit intervenir sur le territoire de l’Union douanière dans les 72 heures au plus tard après leur arrivée au point de destination.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animaux importés sur le territoire douanier de l’Union douanière et (ou) transportés entre les Parties ne doivent pas être soumis aux effets des œstrogènes naturels ou synthétiques, des substances hormonales, des préparations thyréostatiques, des antibiotiques, des pesticides ainsi que des médicaments administrés avant l’abattage après les délais recommandés par les instructions d’application.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inséré par la décision n° 569 de la Commission de l’Union douanière du 02.03.2011)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3" w:name="Par2034"/>
      <w:bookmarkEnd w:id="13"/>
      <w:r w:rsidRPr="0083583E">
        <w:rPr>
          <w:rFonts w:ascii="Times New Roman" w:hAnsi="Times New Roman"/>
          <w:noProof/>
          <w:sz w:val="20"/>
          <w:lang w:eastAsia="fr-FR"/>
        </w:rPr>
        <w:t>Chapitre 10</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Partes des équidés de race, usagers et de course (à l’exception des chevaux de course destinés à la participation aux compétitions)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uniquement des chevaux en bonne santé.</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chevaux ne doivent pas être vaccinés contre les encéphalomyélites infectieuses (vénézuélienne, japonaise, orientale, occidentale, encéphalomyélite équine du Nil occidental), la peste africaine équine et ils doivent provenir des territoires indemnes des maladies contagieuses animales</w:t>
      </w:r>
      <w:r>
        <w:rPr>
          <w:rFonts w:ascii="Times New Roman" w:hAnsi="Times New Roman"/>
          <w:noProof/>
          <w:sz w:val="20"/>
          <w:lang w:eastAsia="fr-FR"/>
        </w:rPr>
        <w:t> :</w:t>
      </w:r>
      <w:r w:rsidRPr="0083583E">
        <w:rPr>
          <w:rFonts w:ascii="Times New Roman" w:hAnsi="Times New Roman"/>
          <w:noProof/>
          <w:sz w:val="20"/>
          <w:lang w:eastAsia="fr-FR"/>
        </w:rPr>
        <w:t xml:space="preserve">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Encéphalomyélites équines vénézuélienne et japonaise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Encéphalomyélites équines orientale et occidentale - au cours des 3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Encéphalomyélite équine du Nil occidental - au cours des 3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équine, stomatite vésiculaire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Morve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Grippe équine - en l’absence de cas cliniques, au cours des 21 derniers jours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Dourine (Trypanosoma equiperdum), su-auru (Trypanosoma evansi) - au cours des 6 derniers mois sur le territoire administratif, conformément à la régionalisation, ou dans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Métrite contagieuse équine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Anémie infectieuse  – au cours des 3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Artérite virale - conformément aux recommandations du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Nuttaliose (Nuttallia equi), piroplasmose (Babesia caballi) – au cours des 30 derniers jours sur le territoire de l’exploitation indemne des  départ dans les exploitations indemnes des vecteurs potentiels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Variole équine, gale, leptospirose – au cours des 3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254 du Collège de la Commission économique eurasienne du 04.12.2012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 Rhinopneumonie équine (infection équine à herpès virus de type 1 sous la forme abortive ou paralytique) – au cours des 21 derniers jours sur le territoire de l’exploitation </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Pendant la quarantaine, les animaux subissent des examens cliniques avec la thermométrie quotidienne et des examens diagnostiques pour la morve, la dourine, la su-auru (Trypanosoma evansi), la piroplasmose (Babesia caballi), la nuttaliose (Nuttallia equi), la rhinopneumonie, l’anaplasmose, la métrite infectieuse, l’anémie infectieuse, l’artérite virale, la stomatite vésiculaire, la leptospirose et pour d’autres maladies infectieuses, à la demande de l’autorité compétente de la Partie sur le territoire de laquelle les animaux sont importés (transportés).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les décisions de la Commission de l’Union douanière du 02.03.2011 n° 567, du 07.04.2011 n° 623, du 18.10.2011 n° 830,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animaux doivent être vaccinés contre la grippe équipe par un vaccin correspondant aux normes indiquées dans le Manuel des tests de diagnostic et des vaccins pour les animaux terrestres de l’OIE, administré entre le 21ème jour et le 90ème jour avant le départ en tant que premier vaccin ou rappel.</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(quatrième paragraphe selon la 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4" w:name="Par2076"/>
      <w:bookmarkEnd w:id="14"/>
      <w:r w:rsidRPr="0083583E">
        <w:rPr>
          <w:rFonts w:ascii="Times New Roman" w:hAnsi="Times New Roman"/>
          <w:noProof/>
          <w:sz w:val="20"/>
          <w:lang w:eastAsia="fr-FR"/>
        </w:rPr>
        <w:t>Chapitre 11</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chevaux de course destinés à la participation aux compétitions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L’importation temporaire sur le territoire douanier de l’Union douanière des chevaux destinés à participer aux compétitions se fait pour la période de 90 jours au plus.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S’il est impossible de sortir ces chevaux pendant le délai indiqué, ils sont soumis aux exigences fixées par les actes normatifs de l’Union douanière en matière vétérinaire.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chevaux en bonne santé, non vaccinés contre les encéphalomyélites infectieuses de tous les types, la peste africaine équine et provenant des territoires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Encéphalomyélites infectieuses équines de tous les types - s’ils sont restés sous surveillance au cours des 3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équine africaine - au cours des 12 derniers mois dans le pays ou sur le territoire administratif conformément à la régionalisation, ou s’ils sont restés au cours des 40 derniers jours dans ce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Morve - au cours des 3 dernières années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Dourine (Trypanosoma equiperdum) - au cours des 6 derniers mois dans le pays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Grippe équine - en l’absence de cas cliniques, au cours des 21 derniers jours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 Rhinopneumonie équine (infection équine à herpès virus de type 1 sous la forme abortive ou paralytique) – au cours des 21 derniers jours sur le territoire de l’exploitation </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Artérite virale - dans le pays conformément aux recommandations du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Anémie infectieuse  – au cours des 3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Métrite infectieuse équine - conformément aux exigences du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254 du Collège de la Commission économique eurasienne du 04.12.2012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À la date du départ, les chevaux ne doivent pas présenter de symptômes cliniques de la dourine.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Lors de l’importation sur le territoire douanier de l’Union douanière et (ou) le transport entre les Parties, les chevaux doivent être examinés pour la morve, la dourine (Trypanosoma  equiperdum) et l’anémie infectieuse et être vaccinés contre la grippe équipe par un vaccin correspondant aux normes indiquées dans le Manuel des tests de diagnostic et des vaccins pour les animaux terrestres de l’OIE, administré entre le 21ème jour et le 90ème jour avant le départ en tant que premier vaccin ou rappel.</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Les chevaux importés depuis les différents pays sont gardés isolés pendant toute la période du séjour, à l’exception de la participation aux compétitions sportives à proprement parler.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Après la fin des compétitions sportives, les chevaux doivent impérativement quitter le territoire de l’Union douanière sans examens supplémentaires et traitements selon le certificat vétérinaire du pays d’origine avec lequel ils étaient importés sur le territoire douanier de l’Union douanière.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des chevaux de course sans mise en quarantaine s’ils sont accompagnés d’un passeport international qui est équivalent, au sens du présent chapitre, au certificat vétérinaire, à condition que celui-ci contienne une mention de l’autorité compétente concernant l’examen clinique effectué 5 jours avant le départ. En cas d’importation des chevaux de course provenant des pays tiers, il n’est pas nécessaire d’établir dans le pays de destination un nouveau document vétérinaire au lieu du passeport international.</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selon la version approuvée par la décision n° 569 de la Commission de l’Union douanière du 02.03.2011)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5" w:name="Par2117"/>
      <w:bookmarkEnd w:id="15"/>
      <w:r w:rsidRPr="0083583E">
        <w:rPr>
          <w:rFonts w:ascii="Times New Roman" w:hAnsi="Times New Roman"/>
          <w:noProof/>
          <w:sz w:val="20"/>
          <w:lang w:eastAsia="fr-FR"/>
        </w:rPr>
        <w:t>Chapitre 12</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du sperme des étalons de race</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le sperme des étalons en bonne santé obtenu dans des centres de prélèvement du sperme et (ou) dans des centres d’insémination artificielle.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(premier paragraphe selon la 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exploitations où se trouvent des étalons reproducteurs, les centres de prélèvement du sperme et (ou) les centres d’insémination artificielle doivent se situer sur les territoires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équine africaine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Dourine (Trypanosoma equiperdum), stomatite vésiculaire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Morve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Grippe équine - en l’absence de cas cliniques, au cours des 21 derniers jours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Métrite contagieuse équine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Artérite virale - conformément aux recommandations du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Leptospirose, su-auru (Trypanosoma evansi)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Anémie infectieuse  – au cours des 3 derniers mois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(deuxième paragraphe selon la 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étalons reproducteurs doivent rester isolés dans des exploitations, des centres de prélèvement du sperme et (ou) des centres d’insémination artificielle pendant au moins 60 jours avant le prélèvement du sperme et ils ne doivent pas servir, pendant cette période, à l’insémination naturelle.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(troisième paragraphe selon la 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étalons reproducteurs ne doivent pas être vaccinés contre la rhinopneumonie, la peste équine africaine et la métrite infectieuse.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Pendant les délais recommandés par l’OIE, avant le prélèvement du sperme, les étalons doivent être examinés pour la dourine, la su-auru, la rhinopneumonie, la métrite infectieuse, l’anémie infectieuse, l’artérite virale, la stomatite vésiculaire, la brucellose, la tuberculose, la leptospirose.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623 de la Commission de l’Union douanière  du 07.04.2011  ,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 sperme ne doit pas contenir de micro-organismes pathogènes et toxicogènes.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 sperme doit être prélevé, conservé et transporté conformément aux recommandations du Code OIE.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6" w:name="Par2147"/>
      <w:bookmarkEnd w:id="16"/>
      <w:r w:rsidRPr="0083583E">
        <w:rPr>
          <w:rFonts w:ascii="Times New Roman" w:hAnsi="Times New Roman"/>
          <w:noProof/>
          <w:sz w:val="20"/>
          <w:lang w:eastAsia="fr-FR"/>
        </w:rPr>
        <w:t>Chapitre 13</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chevaux d’abattoir</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chevaux d’abattoir, cliniquement en bonne santé, provenant des territoires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Morve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Encéphalomyélites infectieuses équines de tous les types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254 du Collège de la Commission économique eurasienne du 04.12.2012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équine, stomatite vésiculaire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Dourine (Trypanosoma equiperdum), su-auru (Trypanosoma evansi) - au cours des 6 derniers mois sur le territoire administratif, conformément à la régionalisation, ou dans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Anémie infectieuse  – au cours des 3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Pendant la mise en quarantaine, les animaux subissent des examens cliniques avec la thermométrie quotidienne et des examens diagnostiques pour la morve, la dourine, l’anémie infectieuse.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L’abattage des animaux pour la viande doit intervenir sur le territoire de l’Union douanière dans les 72 heures au plus tard après leur arrivée au point de destination.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Avant l’abattage, les chevaux doivent être examinés pour la morve, seuls les animaux présentant des réactions négatives sont abattus.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animaux importés sur le territoire douanier de l’Union douanière et (ou) transportés entre les Parties ne doivent pas être soumis aux effets des œstrogènes naturels ou synthétiques, des substances hormonales, des préparations thyréostatiques, des antibiotiques, des pesticides ainsi que des médicaments administrés avant l’abattage après les délais recommandés par les instructions d’application.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inséré par la décision n° 569 de la Commission de l’Union douanière du 02.03.2011)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7" w:name="Par2173"/>
      <w:bookmarkEnd w:id="17"/>
      <w:r w:rsidRPr="0083583E">
        <w:rPr>
          <w:rFonts w:ascii="Times New Roman" w:hAnsi="Times New Roman"/>
          <w:noProof/>
          <w:sz w:val="20"/>
          <w:lang w:eastAsia="fr-FR"/>
        </w:rPr>
        <w:t>Chapitre 14</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poussins de vingt-quatre heures, des dindonneaux, des canetons, des oisons, des autruchons et des œufs d’incubation de ces espèces d’oiseaux</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poussins, dindonneaux, canetons, oisons, autruchons et œufs d’incubation de ces oiseaux, cliniquement en bonne santé, provenant des territoires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 par les décisions du Collège de la Commission économique eurasienne du 04.12.2012 n° 254, du 25.12.2012 n° 307)</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Grippe aviaire dont la déclaration est obligatoire selon le Code OIE - au cours des 12 derniers mois dans le pays ou sur le territoire administratif ou au cours des 3 mois en cas de réalisation du « stamping out » et de résultats négatifs du contrôle épizootique,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de Newcastle - au cours des 12 derniers mois dans le pays ou sur le territoire administratif ou au cours de 3 mois en cas de réalisation du « stamping out » et de résultats négatifs du contrôle épizootique,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poussins de vingt-quatre heures et les oeufs d’incubation sont fournis par des entreprises ou des incubateurs qui ont des programmes de contrôle et de surveillance de la salmonellose et qui sont déclarés indemnes de la typhose aviaire (Salmonella gallinarum) et de la pullorose (Salmonella pullorum).</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exploitations pour les poulets et pour les dindes doivent se situer sur les territoires indemnes de la bronchite infectieuse des poulets, de la laryngotrachéite infectieuse, de la maladie de Gumboro au cours des 6 derniers mois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selon la 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exploitations pour les autruches doivent se situer sur les territoires indemnes de la variole aviaire, de la tuberculose aviaire, de la pasteurellose, des infections paramixovirales, de l’hydropéricardite infectieuse au cours des 6 derniers mois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selon la 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 troupe parentale doit être indemne de maladies susmentionnées.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 troupe parentale de poules et de dindes doit également être examinée à l’aide d’un antigène sérologique pullorose avec un résultat négatif.</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poussins de vingt-quatre heures doivent être vaccinés contre la maladie de Marek.</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œufs d’incubation doivent être obtenus de la volaille répondant aux exigences vétérinaires indiquées ci-dessus.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oeufs d’incubation doivent être désinfectés.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(septième paragraphe selon la 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œufs d’incubation et les poussins doivent être livrés dans des récipients jetables.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8" w:name="Par2203"/>
      <w:bookmarkEnd w:id="18"/>
      <w:r w:rsidRPr="0083583E">
        <w:rPr>
          <w:rFonts w:ascii="Times New Roman" w:hAnsi="Times New Roman"/>
          <w:noProof/>
          <w:sz w:val="20"/>
          <w:lang w:eastAsia="fr-FR"/>
        </w:rPr>
        <w:t>Chapitre 15</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animaux à fourrure, des lapins, des chiens et des chats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animaux à fourrure, des lapins, des chiens et des chats, cliniquement en bonne santé, provenant des territoires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pour tous les types d’animaux au cours des 20 derniers jours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Rage, tuberculose - pour des renards, des renards bleus, des chiens et des chats au cours des 6 derniers mois sur le territoire administratif ou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des visons et des putois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Encéphalopathie du vison, maladie Aléoute - au cours des 36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Tularémie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Rage, tuberculose - au cours des 6 derniers mois sur le territoire administratif, conformément à la régionalisation, ou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des lapins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hémorragique virale, tularémie, pasteurellose (Pasteurella multocida, Mannheimia gaemolitica)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Myxomatose, variole (provoquée par le virus de la variole de la vache et le virus de vaccine) – au cours des 6 derniers mois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selon la 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Pendant la quarantaine, tous les animaux doivent subir des examens cliniques et diagnostiques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Visons - pour la maladie Aléoute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Chat - pour les dermotophytoses.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convient de vacciner les animaux 20 jours au plus tard avant le départ, s’ils n’ont pas été vaccinés au cours des 12 derniers mois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Tous les carnivores - contre la rage. Il est interdit d’importer et de transporter des animaux à fourrure, chiens et chats non vaccinés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inséré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Renards, renards bleus - contre la peste des carnivores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Visons et putois - contre la peste des carnivores, l’entérite virale, la pasteurellose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Myopotames - contre la pasteurellose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Chiens - contre la peste des carnivores, l’hépatite, l’entérite virale, les infections parvovirales et adénovirales, la leptospirose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Chats - contre la panleucopénie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Lapins - contre la myxomatose, la pasteurellose et la maladie hémorragique virale ainsi que d’autres maladies infectieuses, à la demande de l’autorité compétente de la Partie sur le territoire de laquelle a lieu l’importation (le transport).</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des chiens et des chats transportés pour usage personnel dont la quantité n’est pas supérieure à 2 têtes, sans autorisation d’importation et sans quarantaine, s’ils sont accompagnés d’un passeport international équivalent dans ce cas au certificat vétérinaire, à condition que celui-ci contienne une mention de l’autorité compétente concernant l’examen clinique effectué 5 jours avant le départ. Il n’est pas nécessaire d’établir dans le pays de destination un nouveau document vétérinaire au lieu du passeport international en cas d’importation depuis les pays tiers.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de transporter sur le territoire douanier de l’Union douanière des chiens et des chats pour usage personnel dont la quantité n’est pas supérieure à 2 têtes sans quarantaine, s’ils sont accompagnés d’un passeport international pour animaux, conformément aux annexes 2 et 3. Le passeport doit contenir des mentions relatives à la vaccination de l’animal concerné conformément aux présentes Exigences, à condition que chaque vaccin ultérieur contre la rage ait été administré pendant le temps d’action du vaccin précédent. 5 jours avant le début du transport, l’animal doit subir des examens cliniques et son passeport doit contenir une mention correspondante apposée par le vétérinaire, autorisant le transport de l’animal pendant 120 jours, à condition que le temps d’action du vaccin (rappel) contre la rage ne prenne pas fin pendant cette période.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inséré par la décision n° 307 du Collège de la Commission économique eurasienne du 25.12.2012, selon la version approuvée par la décision n° 294 du Collège de la Commission économique eurasienne du 10.12.2013)</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19" w:name="Par2245"/>
      <w:bookmarkEnd w:id="19"/>
      <w:r w:rsidRPr="0083583E">
        <w:rPr>
          <w:rFonts w:ascii="Times New Roman" w:hAnsi="Times New Roman"/>
          <w:noProof/>
          <w:sz w:val="20"/>
          <w:lang w:eastAsia="fr-FR"/>
        </w:rPr>
        <w:t>Chapitre 16</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animaux sauvages</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192 du Collège de la Commission économique eurasienne du 10.09.2013)</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Au sens du présent chapitre, les animaux sauvages sont des animaux retirés pour la première fois du milieu naturel, indépendamment de leur habitat (habitat libre, parcs de réserves, refuges naturels (zakaznik), parcs nationaux etc.).</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animaux sauvages cliniquement en bonne santé (mammifères, oiseaux, poissons, amphibiens, reptiles) provenant des territoires ou des bassins d’eau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toutes les espèces (à l’exception des oiseaux)</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bovine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africaine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catarrhale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Leptospirose – au cours des 3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Rage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hémorragique virale - au cours des 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grands artiodactyles (aurochs, buffles, antilopes, bisons, cerfs, etc.)</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Encéphalopathie spongiforme bovine et tremblante ovine – dans le pays ou sur le territoire administratif, conformément à la régionalisation avec un risque insignifiant ou contrôlable de la maladie indiquée, selon les recommandations du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Dermatose nodulaire contagieuse (pearl disease) des bovins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de la vallée du Rift - au cours des 48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des petits ruminants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hémorragique épizootique des cervidés, maladie Acabané, stomatite vésiculaire, pleuropneumonie contagieuse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d’Aujeszky (pseudorage)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Brucellose, tuberculose, paratuberculose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Leucose enzootique, diarrhée virale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petits artiodactyles (brebis, argalis, biches, tours, mouflons, capricornes, chevreuils, etc.)</w:t>
      </w:r>
      <w:r>
        <w:rPr>
          <w:rFonts w:ascii="Times New Roman" w:hAnsi="Times New Roman"/>
          <w:noProof/>
          <w:sz w:val="20"/>
          <w:lang w:eastAsia="fr-FR"/>
        </w:rPr>
        <w:t> :</w:t>
      </w:r>
      <w:r w:rsidRPr="0083583E">
        <w:rPr>
          <w:rFonts w:ascii="Times New Roman" w:hAnsi="Times New Roman"/>
          <w:noProof/>
          <w:sz w:val="20"/>
          <w:lang w:eastAsia="fr-FR"/>
        </w:rPr>
        <w:t xml:space="preserve">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de la vallée du Rift - au cours des 48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des petits ruminants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hémorragique épizootique des cervidés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bovine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Q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Maedi-Visna, adénomatose, arthrite encéphalite, maladie Border disease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Paratuberculose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Tremblante du mouton - au cours des 7 dernières années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Tuberculose, brucellose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Variole ovine et caprine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solipèdes (zèbres, hémiones, chevaux Prjevalski, kiangs, etc.)</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équine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Encéphalomyélites infectieuses de tous les types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Artérite virale - dans le pays conformément aux recommandations du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Morve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Dourine (Trypanosoma equiperdum), su-auru (Trypanosoma evansi), piroplasmose (Babesia caballi), nuttaliose (Nuttallia equi) - au cours des 12 derniers mois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Métrite contagieuse équine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différentes races de porcs sauvages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africaine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classique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vésiculaire porcine, stomatite vésiculaire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d’Aujeszky (pseudorage) – au cours des 12 derniers mois sur le territoire administratif, conformément à la régionalisation, ou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Encéphalomyélite entérovirale porcine (maladie de Teschen, encéphalomyélite texo-virale porcine )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Syndrome reproducteur et respiratoire porcin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différentes espèces carnivores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des carnivores, entérite virale, toxoplasmose, hépatite infectieuse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Tularémie – au cours des 24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toutes les espèces d’oiseaux</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Dergi, peste du canard, hépatite virale du caneton (pour l’oiseau aquatique) - au cours des 6 derniers mois sur le territoire de l’exploitation</w:t>
      </w:r>
      <w:r>
        <w:rPr>
          <w:rFonts w:ascii="Times New Roman" w:hAnsi="Times New Roman"/>
          <w:noProof/>
          <w:sz w:val="20"/>
          <w:lang w:eastAsia="fr-FR"/>
        </w:rPr>
        <w:t> ;</w:t>
      </w:r>
      <w:r w:rsidRPr="0083583E">
        <w:rPr>
          <w:rFonts w:ascii="Times New Roman" w:hAnsi="Times New Roman"/>
          <w:noProof/>
          <w:sz w:val="20"/>
          <w:lang w:eastAsia="fr-FR"/>
        </w:rPr>
        <w:t xml:space="preserve">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Grippe aviaire dont la déclaration est obligatoire selon le Code OIE – au cours des 6 derniers mois sur le territoire administratif, conformément à la régionalisation</w:t>
      </w:r>
      <w:r>
        <w:rPr>
          <w:rFonts w:ascii="Times New Roman" w:hAnsi="Times New Roman"/>
          <w:noProof/>
          <w:sz w:val="20"/>
          <w:lang w:eastAsia="fr-FR"/>
        </w:rPr>
        <w:t> ;</w:t>
      </w:r>
      <w:r w:rsidRPr="0083583E">
        <w:rPr>
          <w:rFonts w:ascii="Times New Roman" w:hAnsi="Times New Roman"/>
          <w:noProof/>
          <w:sz w:val="20"/>
          <w:lang w:eastAsia="fr-FR"/>
        </w:rPr>
        <w:t xml:space="preserve">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Ornithose (psittacose), bronchite infectieuse, variole, infection réovirale et rhinotrachéite de dindes - au cours des 6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de Newcastle - au cours des 12 derniers mois sur le territoire administratif, conformément à la régionalisation, ou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différentes espèces de rongeurs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de la vallée du Rift - au cours des 48 derniers mois dans le pays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Tularémie – au cours des 24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d’Aujeszky (pseudorage) – conformément aux recommandations du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Myxomatose, maladie hémorragique virale des lapins, chorioméningite lymphatique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Toxoplasmose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différentes espèces de palmipèdes, de cétacés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des phoques (infection morbillivirale), exanthème vésiculaire - au cours des 36 derniers mois dans leur habitat (lieu d’origine)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éléphants, les girafes, les okapis, les hippopotames, les rhinocéros, les tapirs, les édentés et les tubulidentatas, les insectivores, les marsupiaux, les chauves-souris, les ratons, les mustélidés, les civettes et d’autres espèces exotiques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de la vallée du Rift – au cours des 48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Encéphalomyélite vénézuélienne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Dermatose nodulaire contagieuse (pearl disease) des bovins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africaine équine, maladie d’Aujeszky (pseudorage), encéphalomyélite transmissible des visons, chorioméningite lymphocytaire – au cours des 12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Tularémie – au cours des 24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différentes espèces de primates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de la vallée du Rift, tularémie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hémorragique (de Lassa, Ebola, de Marburg, Denge, fièvre jaune, fièvre du Nil occidental), variole des singes - en l’absence de cas enregistrés sur le territoire de l’exploitation ou sur le territoire administratif d’où proviennent des primates.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animaux sauvages sélectionnés pour l’importation sur le territoire douanier de l’Union douanière ou le transport entre les Parties doivent être identifiés dans le pays d’exportation au moyen de l’implantation de puces, de placement d’anneaux ou d’un tatouage et rester en quarantaine pendant au moins 30 jours. Tous les animaux sont examinés cliniquement pendant la quarantaine avec la thermométrie obligatoire. Pendant cette période, ils subissent également des examens diagnostiques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Grands artiodactyles – brucellose, tuberculose, paratuberculose, leucose, fièvre catarrhale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Petits artiodactyles - brucellose, paratuberculose, fièvre catarrhale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Solipèdes – morve, dourine, su-auru, piroplasmose, nuttaliose, rhinopneumonie, métrite infectieuse, anémie infectieuse, artérite virale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Visons - maladie Aléoute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Oiseaux - ornithose (psittacose), grippe aviaire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Primates - présence des anticorps pour les agents pathogènes de la fièvre hémorragique (de Lassa, Ebola, de Marburg, Denge, fièvre jaune, fièvre du Nil occidental), de l’infection VIH, de la chorioméningite lymphocytaire, de l’hépatite А, В, С, de la variole des singes, de l’herpès В, présente des agents pathogènes du groupe d’entérobactéries (Escherichia, salmonelles, shigelles, campilobactéries, lèpre, rickettsiose, borréliose), tuberculose.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convient de vacciner les animaux 20 jours au plus tard avant le départ, s’ils n’ont pas été vaccinés au cours des 12 derniers mois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Tous les carnivores - contre la rage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Chiens, renards, renards bleus, loups, chacals - contre la peste des carnivores, l’entérite virale, l’hépatite, la leptospirose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Visons, putois - contre l’entérite virale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Myopotames - contre la pasteurellose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Chats - contre la panleucopénie, la rhinotrachéite virale et la cilicivirose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Rongeurs (lapins) - contre la myxomatose et la maladie hémorragique virale des lapins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Oiseaux (groupe de poulet) - contre la maladie de Newcastle.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L’autorité compétente de la Partie sur le territoire de laquelle les animaux sont importés (transportés)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peut exiger la réalisation d’autres examens et vaccins contre d’autres maladies.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0" w:name="Par2342"/>
      <w:bookmarkEnd w:id="20"/>
      <w:r w:rsidRPr="0083583E">
        <w:rPr>
          <w:rFonts w:ascii="Times New Roman" w:hAnsi="Times New Roman"/>
          <w:noProof/>
          <w:sz w:val="20"/>
          <w:lang w:eastAsia="fr-FR"/>
        </w:rPr>
        <w:t>Chapitre 17</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Partes des poissons vivants, des invertébrés et d’autres animaux aquatiques poïkilothermes, de leurs œufs fécondés, de leur sperme, des larves, destinés à l’élevage de production, à l’élevage de race et à toute autre fin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poissons vivants, des invertébrés et d’autres animaux aquatiques poïkilothermes, de leurs œufs fécondés, de leur sperme, des larves, destinés à l’élevage de production, à l’élevage de race et à toute autre fin, obtenus dans des bassins d’eau naturels ou provenant des exploitations d’aquaculture, déclarés indemnes au cours des 24 derniers mois des maladies des animaux aquatiques poïkilothermes et des espèces vulnérables, figurant sur la liste des maladies spécifiques des animaux aquatiques poïkilothermes et des espèces d’animaux vulnérables.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Liste des maladies spécifiques des animaux aquatiques poïkilothermes et des espèces d’animaux vulnérables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tbl>
      <w:tblPr>
        <w:tblW w:w="10260" w:type="dxa"/>
        <w:tblCellSpacing w:w="5" w:type="dxa"/>
        <w:tblInd w:w="10" w:type="dxa"/>
        <w:tblLayout w:type="fixed"/>
        <w:tblCellMar>
          <w:top w:w="75" w:type="dxa"/>
          <w:left w:w="0" w:type="dxa"/>
          <w:bottom w:w="75" w:type="dxa"/>
          <w:right w:w="0" w:type="dxa"/>
        </w:tblCellMar>
        <w:tblLook w:val="0000"/>
      </w:tblPr>
      <w:tblGrid>
        <w:gridCol w:w="1647"/>
        <w:gridCol w:w="2574"/>
        <w:gridCol w:w="6039"/>
      </w:tblGrid>
      <w:tr w:rsidR="007D34EA" w:rsidRPr="0083583E" w:rsidTr="003055B0">
        <w:trPr>
          <w:trHeight w:val="1200"/>
          <w:tblCellSpacing w:w="5" w:type="dxa"/>
        </w:trPr>
        <w:tc>
          <w:tcPr>
            <w:tcW w:w="1638" w:type="dxa"/>
            <w:tcBorders>
              <w:top w:val="single" w:sz="8" w:space="0" w:color="auto"/>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Groupe systématique des animaux poïkilothermes</w:t>
            </w:r>
          </w:p>
        </w:tc>
        <w:tc>
          <w:tcPr>
            <w:tcW w:w="2574" w:type="dxa"/>
            <w:tcBorders>
              <w:top w:val="single" w:sz="8" w:space="0" w:color="auto"/>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Dénomination et code international des maladies</w:t>
            </w:r>
          </w:p>
        </w:tc>
        <w:tc>
          <w:tcPr>
            <w:tcW w:w="6048" w:type="dxa"/>
            <w:tcBorders>
              <w:top w:val="single" w:sz="8" w:space="0" w:color="auto"/>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   Espèces d’animaux vulnérables    </w:t>
            </w:r>
          </w:p>
        </w:tc>
      </w:tr>
      <w:tr w:rsidR="007D34EA" w:rsidRPr="0083583E" w:rsidTr="003055B0">
        <w:trPr>
          <w:trHeight w:val="2400"/>
          <w:tblCellSpacing w:w="5" w:type="dxa"/>
        </w:trPr>
        <w:tc>
          <w:tcPr>
            <w:tcW w:w="1638" w:type="dxa"/>
            <w:vMerge w:val="restart"/>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Poissons        </w:t>
            </w:r>
          </w:p>
        </w:tc>
        <w:tc>
          <w:tcPr>
            <w:tcW w:w="2574"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Virémie printanière de la carpe (SVC)         </w:t>
            </w:r>
          </w:p>
        </w:tc>
        <w:tc>
          <w:tcPr>
            <w:tcW w:w="6048"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Carpe commune (Cyprinus carpio carpio), carpe koï (Cyprinus carpio koi), carassin commun (Carassius carassius), carassin doré (Carassius auratus), carpe argentée (Hypophthalmichthy smolitrix), carpe à grosse tête (Aristichthys nobilis), carpe herbivore (Ctenopharyngodon idella), ide (Leuciscus idus), tanche (Tinca tinca), poisson-chat commun (Silurus glanis)                                </w:t>
            </w:r>
          </w:p>
        </w:tc>
      </w:tr>
      <w:tr w:rsidR="007D34EA" w:rsidRPr="0083583E" w:rsidTr="003055B0">
        <w:trPr>
          <w:trHeight w:val="1000"/>
          <w:tblCellSpacing w:w="5" w:type="dxa"/>
        </w:trPr>
        <w:tc>
          <w:tcPr>
            <w:tcW w:w="1638" w:type="dxa"/>
            <w:vMerge/>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Herpès virose de la carpe koï (KHVD)              </w:t>
            </w:r>
          </w:p>
        </w:tc>
        <w:tc>
          <w:tcPr>
            <w:tcW w:w="6048"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Carpe commune (Cyprinus carpio carpio), carpe koï (Cyprinus carpio koi), espèces décoratives de carpe et leurs hybrides                                </w:t>
            </w:r>
          </w:p>
        </w:tc>
      </w:tr>
      <w:tr w:rsidR="007D34EA" w:rsidRPr="0083583E" w:rsidTr="003055B0">
        <w:trPr>
          <w:trHeight w:val="2000"/>
          <w:tblCellSpacing w:w="5" w:type="dxa"/>
        </w:trPr>
        <w:tc>
          <w:tcPr>
            <w:tcW w:w="1638" w:type="dxa"/>
            <w:vMerge/>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Septicémie hémorragique virale des salmonidés (VHS)     </w:t>
            </w:r>
          </w:p>
        </w:tc>
        <w:tc>
          <w:tcPr>
            <w:tcW w:w="6048"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Harengs (Clupea spp.), corégones (Coregonus sp.), brochet (Esox lucius), aiglefin (Gadus aeglefinus), morue (Gadus morhua), saumon du Pacifique (Oncorhynchus), truite arc-en-ciel (O. mykiss), truite brune (Salmo trutta), turbot (Scopthalmus maximus), ombre commun (Thymallus thymallus)     </w:t>
            </w:r>
          </w:p>
        </w:tc>
      </w:tr>
      <w:tr w:rsidR="007D34EA" w:rsidRPr="0083583E" w:rsidTr="003055B0">
        <w:trPr>
          <w:trHeight w:val="1600"/>
          <w:tblCellSpacing w:w="5" w:type="dxa"/>
        </w:trPr>
        <w:tc>
          <w:tcPr>
            <w:tcW w:w="1638" w:type="dxa"/>
            <w:vMerge/>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Nécrose hématopoïétique infectieuse des tissus (NHI)         </w:t>
            </w:r>
          </w:p>
        </w:tc>
        <w:tc>
          <w:tcPr>
            <w:tcW w:w="6048"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Saumon du Pacifique (Oncorhynchus), saumon kéta (O. keta), saumon coho (O. kisutch), cima (O. masou), truite arc-en-ciel (O. mykiss), saumon rouge (O. nerka), saumon quinnat (O. tshawytscha), saumon rose (O. gorbuscha), saumon atlantique (Salmo salar)                  </w:t>
            </w:r>
          </w:p>
        </w:tc>
      </w:tr>
      <w:tr w:rsidR="007D34EA" w:rsidRPr="0083583E" w:rsidTr="003055B0">
        <w:trPr>
          <w:trHeight w:val="1000"/>
          <w:tblCellSpacing w:w="5" w:type="dxa"/>
        </w:trPr>
        <w:tc>
          <w:tcPr>
            <w:tcW w:w="1638" w:type="dxa"/>
            <w:vMerge/>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Nécrose hématopoïétique épizootique des tissus (EHN)         </w:t>
            </w:r>
          </w:p>
        </w:tc>
        <w:tc>
          <w:tcPr>
            <w:tcW w:w="6048"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Perche commune (Perca fluviatilis), truite arc-en-ciel (O. mykiss), gambusie (Gambusia affinis)         </w:t>
            </w:r>
          </w:p>
        </w:tc>
      </w:tr>
      <w:tr w:rsidR="007D34EA" w:rsidRPr="003055B0" w:rsidTr="003055B0">
        <w:trPr>
          <w:trHeight w:val="800"/>
          <w:tblCellSpacing w:w="5" w:type="dxa"/>
        </w:trPr>
        <w:tc>
          <w:tcPr>
            <w:tcW w:w="1638" w:type="dxa"/>
            <w:vMerge/>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Anémie infectieuse du saumon (ISA)        </w:t>
            </w:r>
          </w:p>
        </w:tc>
        <w:tc>
          <w:tcPr>
            <w:tcW w:w="6048"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val="en-US" w:eastAsia="fr-FR"/>
              </w:rPr>
            </w:pPr>
            <w:r w:rsidRPr="003055B0">
              <w:rPr>
                <w:rFonts w:ascii="Times New Roman" w:hAnsi="Times New Roman"/>
                <w:noProof/>
                <w:sz w:val="20"/>
                <w:lang w:eastAsia="fr-FR"/>
              </w:rPr>
              <w:t xml:space="preserve">Truite arc-en-ciel (O.  </w:t>
            </w:r>
            <w:r w:rsidRPr="003055B0">
              <w:rPr>
                <w:rFonts w:ascii="Times New Roman" w:hAnsi="Times New Roman"/>
                <w:noProof/>
                <w:sz w:val="20"/>
                <w:lang w:val="en-US" w:eastAsia="fr-FR"/>
              </w:rPr>
              <w:t xml:space="preserve">mykiss), saumon coho (O.  kisutch), saumon atlantique (Salmo salar), truite brune (Salmo trutta)                   </w:t>
            </w:r>
          </w:p>
        </w:tc>
      </w:tr>
      <w:tr w:rsidR="007D34EA" w:rsidRPr="0083583E" w:rsidTr="003055B0">
        <w:trPr>
          <w:trHeight w:val="1400"/>
          <w:tblCellSpacing w:w="5" w:type="dxa"/>
        </w:trPr>
        <w:tc>
          <w:tcPr>
            <w:tcW w:w="1638" w:type="dxa"/>
            <w:vMerge/>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jc w:val="both"/>
              <w:rPr>
                <w:rFonts w:ascii="Times New Roman" w:hAnsi="Times New Roman" w:cs="Arial"/>
                <w:noProof/>
                <w:sz w:val="20"/>
                <w:lang w:val="en-US" w:eastAsia="fr-FR"/>
              </w:rPr>
            </w:pPr>
          </w:p>
        </w:tc>
        <w:tc>
          <w:tcPr>
            <w:tcW w:w="2574"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Nécrose pancréatique infectieuse des salmonidés (IPN)               </w:t>
            </w:r>
          </w:p>
        </w:tc>
        <w:tc>
          <w:tcPr>
            <w:tcW w:w="6048"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Truite arc-en-ciel (O. mykiss), truite brune (Salmo trutta), loches (Salvelinus), saumon rouge (O. nerka), saumon atlantique (Salmo salar), sériole à queue (Seriola quinquerradiata), turbot (Scopthalmus maximus), morue (Gadus morhua)        </w:t>
            </w:r>
          </w:p>
        </w:tc>
      </w:tr>
      <w:tr w:rsidR="007D34EA" w:rsidRPr="0083583E" w:rsidTr="003055B0">
        <w:trPr>
          <w:trHeight w:val="800"/>
          <w:tblCellSpacing w:w="5" w:type="dxa"/>
        </w:trPr>
        <w:tc>
          <w:tcPr>
            <w:tcW w:w="1638" w:type="dxa"/>
            <w:vMerge/>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Herpès virus de l’esturgeon sibérien (SbSHVD)     </w:t>
            </w:r>
          </w:p>
        </w:tc>
        <w:tc>
          <w:tcPr>
            <w:tcW w:w="6048"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Membres de la famille Acipenseridae  </w:t>
            </w:r>
          </w:p>
        </w:tc>
      </w:tr>
      <w:tr w:rsidR="007D34EA" w:rsidRPr="0083583E" w:rsidTr="003055B0">
        <w:trPr>
          <w:trHeight w:val="800"/>
          <w:tblCellSpacing w:w="5" w:type="dxa"/>
        </w:trPr>
        <w:tc>
          <w:tcPr>
            <w:tcW w:w="1638" w:type="dxa"/>
            <w:vMerge/>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Iridovirose de l’esturgeon blanc (WSIV)          </w:t>
            </w:r>
          </w:p>
        </w:tc>
        <w:tc>
          <w:tcPr>
            <w:tcW w:w="6048"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Membres de la famille Acipenseridae  </w:t>
            </w:r>
          </w:p>
        </w:tc>
      </w:tr>
      <w:tr w:rsidR="007D34EA" w:rsidRPr="0083583E" w:rsidTr="003055B0">
        <w:trPr>
          <w:trHeight w:val="2000"/>
          <w:tblCellSpacing w:w="5" w:type="dxa"/>
        </w:trPr>
        <w:tc>
          <w:tcPr>
            <w:tcW w:w="1638" w:type="dxa"/>
            <w:vMerge/>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Iridovisore de la brème de mer rouge</w:t>
            </w:r>
          </w:p>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(RSIVD)             </w:t>
            </w:r>
          </w:p>
        </w:tc>
        <w:tc>
          <w:tcPr>
            <w:tcW w:w="6048"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Sujets de l’aquaculture marine -  dorades (Pagrus   major, Acanthopagrus latus, Evynnis japonica),   sérioles (Seriola quinqueradiata,  S. dumerili, S.  lalandi)  et leurs hybrides, cobia (Rachycentron    canadum), mérous (Epinephelus), hybrides de bar d’Amérique (Morone saxatilis), mulet à grosse tête (Mugil cephalus)                              </w:t>
            </w:r>
          </w:p>
        </w:tc>
      </w:tr>
      <w:tr w:rsidR="007D34EA" w:rsidRPr="0083583E" w:rsidTr="003055B0">
        <w:trPr>
          <w:trHeight w:val="1800"/>
          <w:tblCellSpacing w:w="5" w:type="dxa"/>
        </w:trPr>
        <w:tc>
          <w:tcPr>
            <w:tcW w:w="1638" w:type="dxa"/>
            <w:vMerge/>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Syndrome ulcéreux épizootique (EUS)               </w:t>
            </w:r>
          </w:p>
        </w:tc>
        <w:tc>
          <w:tcPr>
            <w:tcW w:w="6048"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Membres de la famille Acanthopagrus, famille des aryens (Ariidae), famille des cyprinidés (Cyprinidae),  perciformes (Perciformes), famille des poissons-serpents (Channidae), famille de poissons-chats (Clarias), famille des mugiliformes (Mugilidae), famille des clupéidés (Clupeidae), famille des ariidés (Arius sp) et autres                    </w:t>
            </w:r>
          </w:p>
        </w:tc>
      </w:tr>
      <w:tr w:rsidR="007D34EA" w:rsidRPr="0083583E" w:rsidTr="003055B0">
        <w:trPr>
          <w:trHeight w:val="1600"/>
          <w:tblCellSpacing w:w="5" w:type="dxa"/>
        </w:trPr>
        <w:tc>
          <w:tcPr>
            <w:tcW w:w="1638" w:type="dxa"/>
            <w:vMerge w:val="restart"/>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Mollusques    </w:t>
            </w:r>
          </w:p>
        </w:tc>
        <w:tc>
          <w:tcPr>
            <w:tcW w:w="2574"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Maladie parasitaire causée par Bonamia ostreae (bonamiose)          </w:t>
            </w:r>
          </w:p>
        </w:tc>
        <w:tc>
          <w:tcPr>
            <w:tcW w:w="6048"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Huîtres plates : australienne (Ostrea angasi), chilienne (Ostrea chilensis), Olympia (Ostrea conchaphila), européenne (Ostrea edulis), d’Argentine (Ostrea puelchana), asiatique (Ostrea denselammellosa)                       </w:t>
            </w:r>
          </w:p>
        </w:tc>
      </w:tr>
      <w:tr w:rsidR="007D34EA" w:rsidRPr="0083583E" w:rsidTr="003055B0">
        <w:trPr>
          <w:trHeight w:val="1600"/>
          <w:tblCellSpacing w:w="5" w:type="dxa"/>
        </w:trPr>
        <w:tc>
          <w:tcPr>
            <w:tcW w:w="1638" w:type="dxa"/>
            <w:vMerge/>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jc w:val="both"/>
              <w:rPr>
                <w:rFonts w:ascii="Times New Roman" w:hAnsi="Times New Roman" w:cs="Arial"/>
                <w:noProof/>
                <w:sz w:val="20"/>
                <w:lang w:eastAsia="fr-FR"/>
              </w:rPr>
            </w:pPr>
          </w:p>
        </w:tc>
        <w:tc>
          <w:tcPr>
            <w:tcW w:w="2574"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Maladie parasitaire        </w:t>
            </w:r>
          </w:p>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causée par Marteilia refringens (marteiliose)         </w:t>
            </w:r>
          </w:p>
        </w:tc>
        <w:tc>
          <w:tcPr>
            <w:tcW w:w="6048"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Huîtres plates : australienne (Ostrea angasi), chilienne (Ostrea chilensis), Olympia (Ostrea conchaphila), européenne (Ostrea edulis), d’Argentine (Ostrea puelchana), moule comestible (Mutilus edulis) et moule de la mer Noire (Mutilus galloprovincialis)                     </w:t>
            </w:r>
          </w:p>
        </w:tc>
      </w:tr>
      <w:tr w:rsidR="007D34EA" w:rsidRPr="0083583E" w:rsidTr="003055B0">
        <w:trPr>
          <w:trHeight w:val="1400"/>
          <w:tblCellSpacing w:w="5" w:type="dxa"/>
        </w:trPr>
        <w:tc>
          <w:tcPr>
            <w:tcW w:w="1638"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Crustacés</w:t>
            </w:r>
          </w:p>
        </w:tc>
        <w:tc>
          <w:tcPr>
            <w:tcW w:w="2574"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Peste des écrevisses - maladie fongique           </w:t>
            </w:r>
          </w:p>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causée par          </w:t>
            </w:r>
          </w:p>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Aphanoomyces astaci </w:t>
            </w:r>
          </w:p>
        </w:tc>
        <w:tc>
          <w:tcPr>
            <w:tcW w:w="6048"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Écrevisses : écrevisse à pattes rouges (Astacus astacus), écrevisse australienne (Austropotamobius pallipes), écrevisse américaine (Procombarus clarkii), écrevisse de l’Extrême-Orient (Pacifastacus leniusculus), écrevisse à pattes grêles (Astacus leptodactylus)                         </w:t>
            </w:r>
          </w:p>
        </w:tc>
      </w:tr>
    </w:tbl>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poissons vivants, les invertébrés et d’autres animaux aquatiques poïkilothermes, destinés à l’élevage de production, à l’élevage de race et à toute autre fin, importés sur le territoire douanier commun de l’Union douanière et (ou) transportés entre les Parties, doivent subir, dans les 72 heures avant le départ, un examen visuel qui ne révèle pas de symptômes des infections ou des maladies contagieuses présentant un risque pour les animaux aquatiques poïkilothermes, d’autres animaux ou pour la santé de l’homme.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commun de l’Union douanière et (ou) de transporter entre les Parties des poissons vivants, des invertébrés et d’autres animaux aquatiques poïkilothermes, obtenus dans des bassins d’eau naturels, placés en quarantaine pendant au moins 30 jours à la température supérieure à 12°C dans les conditions d’une entreprise (zone) de quarantaine, enregistrée auprès d’un service vétérinaire, sous la surveillance d’un vétérinaire. Pendant la quarantaine, les poissons frais, les invertébrés et d’autres animaux aquatiques poïkilothermes, subissent des examens visuels selon la sélection représentative et des examens cliniques pour détecter la présence des maladies spécifiques conformément à la liste des maladies spécifiques des animaux aquatiques poïkilothermes et des espèces d’animaux vulnérables figurant dans le présent chapitre.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 transport des poissons vivants, des invertébrés et d’autres animaux aquatiques poïkilothermes, de leurs œufs fécondés, de leur sperme, des larves, il convient d’utiliser des emballages (conteneurs, etc.) garantissant les conditions (y compris la qualité de l’eau) qui ne modifient pas leur état de santé. Des poissons vivants, des invertébrés et d’autres animaux aquatiques poïkilothermes, leurs œufs fécondés, leur sperme, des larves doivent être emballés dans des conteneurs nouveaux ou un autre emballage ayant subi le nettoyage et la désinfection afin d’éliminer des agents pathogènes de maladies. Chaque unité d’emballage (conteneur, etc.) doit être numérotée et étiquetée.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1" w:name="Par2477"/>
      <w:bookmarkEnd w:id="21"/>
      <w:r w:rsidRPr="0083583E">
        <w:rPr>
          <w:rFonts w:ascii="Times New Roman" w:hAnsi="Times New Roman"/>
          <w:noProof/>
          <w:sz w:val="20"/>
          <w:lang w:eastAsia="fr-FR"/>
        </w:rPr>
        <w:t>Chapitre 18</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abeilles de miel, des bourdons et des cocons d’abeilles acromyrmex de luzerne</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familles de bourdons et d’abeilles en bonne santé, leurs reines et paquets, des larves (cocons) de l’abeille acromyrmex de luzerne, provenant des exploitations (ruches, laboratoires) et des territoires administratifs des pays d’exportation et de l’Union douanière, indemnes des maladies suivantes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Acarapidose, baccilus larvae, baccilus larvae européen, varroatose (présence d’acariens résistants aux acaricides) - pour les abeilles de miel au cours des 24 derniers mois sur le territoire administratif, conformément à la régionalisation, ou sur le territoire de l’exploitation</w:t>
      </w:r>
      <w:r>
        <w:rPr>
          <w:rFonts w:ascii="Times New Roman" w:hAnsi="Times New Roman"/>
          <w:noProof/>
          <w:sz w:val="20"/>
          <w:lang w:eastAsia="fr-FR"/>
        </w:rPr>
        <w:t> ;</w:t>
      </w:r>
      <w:r w:rsidRPr="0083583E">
        <w:rPr>
          <w:rFonts w:ascii="Times New Roman" w:hAnsi="Times New Roman"/>
          <w:noProof/>
          <w:sz w:val="20"/>
          <w:lang w:eastAsia="fr-FR"/>
        </w:rPr>
        <w:t xml:space="preserve">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L’absence des symptômes cliniques ou des suspicions des maladies, y compris des maladies parasitaires - pour les bourdons et les cocons de l’abeille actomyrmex de luzerne.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Tous les objets importés sur le territoire douanier de l’Union douanière ont subi un contrôle garantissant l’absence des coléoptères Aethina tumida, de leurs oeufs et larves ainsi que d’autres nuisibles affectant les abeilles de miel, y compris des Tropilaelaps spp., des moucherons Apocephalus borealis.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familles de bourdons et d’abeilles sont sélectionnées 30 jours avant le départ, les reines sont sélectionnées 1-3 jours avant l’importation sur le territoire douanier de l’Union douanière ou sur le territoire de la Partie concernée.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lots de cocons de l’abeille actomyrmex de luzerne sont constitués compte tenu de la prospérité des exploitations de chaque fournisseur.</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 transport, il convient d’utiliser des conteneurs et du matériel d’emballage de premier emploi.</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aliments utilisés pendant le transport doivent provenir des territoires (administratifs) indemnes des maladies contagieuses d’abeilles et de bourdons et éviter tout contact avec des abeilles, des bourdons malades.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Avant de placer des bourdons, des abeilles de miel et des reines, des abeilles acromyrmex dans le matériel de transport, celui-ci est soumis à la désinfection et à la désacarisation.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2" w:name="Par2500"/>
      <w:bookmarkEnd w:id="22"/>
      <w:r w:rsidRPr="0083583E">
        <w:rPr>
          <w:rFonts w:ascii="Times New Roman" w:hAnsi="Times New Roman"/>
          <w:noProof/>
          <w:sz w:val="20"/>
          <w:lang w:eastAsia="fr-FR"/>
        </w:rPr>
        <w:t>Chapitre 19</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rennes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rennes en bonne santé, non vaccinés contre la brucellose, et provenant des exploitations ou des territoires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307 du Collège de la Commission économique eurasienne du 25.12.2012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Stomatite vésiculaire, pleuropneumonie contagieuse bovine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bovine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307 du Collège de la Commission économique eurasienne du 25.12.2012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des petits ruminants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Leucose enzootique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Brucellose, tuberculose et paratuberculose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Leptospirose – au cours des 3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L’alimentation des animaux importés ne doit pas contenir de protéines de ruminants, à l’exception de celles qui sont autorisées par l’OIE.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Pendant la quarantaine, des animaux subissent des examens diagnostiques pour la brucellose, la tuberculose et d’autres maladies infectieuses, à la demande de l’autorité compétente de la Partie sur le territoire de laquelle ils sont importés (transportés).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569 de la Commission de l’Union douanière du 02.03.2011,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3" w:name="Par2526"/>
      <w:bookmarkEnd w:id="23"/>
      <w:r w:rsidRPr="0083583E">
        <w:rPr>
          <w:rFonts w:ascii="Times New Roman" w:hAnsi="Times New Roman"/>
          <w:noProof/>
          <w:sz w:val="20"/>
          <w:lang w:eastAsia="fr-FR"/>
        </w:rPr>
        <w:t>Chapitre 20</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chameaux et d’autres représentants de la famille des camélidés (lamas, alpagas, vigognes)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chameaux et d’autres représentants de la famille des camélidés cliniquement en bonne santé, provenant des exploitations et des territoires conformément à la régionalisation,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africaine équine, peste zooantroponose, dermatose nodulaire - au cours des 36 derniers mois dans le pays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bovine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Variole des chameaux - au cours des 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catarrhale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Morve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Brucellose, tuberculose, paratuberculose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Leptospirose – au cours des 3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L’alimentation des animaux importés ne doit pas contenir de protéines de ruminants, à l’exception de celles qui sont autorisées par l’OIE.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Pendant la quarantaine, des animaux subissent des examens diagnostiques pour la fièvre catarrhale, la morve, la su-auru, la tuberculose, la paratuberculose, la brucellose, la pleuropneumonie contagieuse.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4" w:name="Par2552"/>
      <w:bookmarkEnd w:id="24"/>
      <w:r w:rsidRPr="0083583E">
        <w:rPr>
          <w:rFonts w:ascii="Times New Roman" w:hAnsi="Times New Roman"/>
          <w:noProof/>
          <w:sz w:val="20"/>
          <w:lang w:eastAsia="fr-FR"/>
        </w:rPr>
        <w:t>Chapitre 21</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primates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Ce chapitre est devenu caduc. - décision n° 192 du Collège de la Commission économique eurasienne du 10.09.2013.</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5" w:name="Par2560"/>
      <w:bookmarkEnd w:id="25"/>
      <w:r w:rsidRPr="0083583E">
        <w:rPr>
          <w:rFonts w:ascii="Times New Roman" w:hAnsi="Times New Roman"/>
          <w:noProof/>
          <w:sz w:val="20"/>
          <w:lang w:eastAsia="fr-FR"/>
        </w:rPr>
        <w:t>Chapitre 22</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 ET SANITAIRES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 la viande et des matières premières carnées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893 de la Commission de l’Union douanière du 09.12.2011)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de l’Union douanière et (ou) de transporter entre les Parties de la viande et d’autres matières premières carnées obtenues à l’issue de l’abattage et de la transformation des animaux en bonne santé dans des abattoirs et dans des entreprises de transformation de la viande.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animaux dont la viande et les autres matières premières carnées sont destinées à l’importation sur le territoire de l’Union douanière subissent un contrôle vétérinaire avant l’abattage, alors que leurs carcasses, têtes et organes internes sont soumis à l’expertise vétérinaire et sanitaire après l’abattage. La viande et les matières premières carnées doivent être déclarées propres à la consommation humaine.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carcasses (demi-carcasse, quarts) doivent comporter un label précis du contrôle vétérinaire officiel précisant la dénomination ou le numéro de la boucherie (de l’abattoir à froid), ayant procédé à l’abattage des animaux. La viande débitée doit posséder un marquage (vétérinaire) sur l’emballage ou le poli bloc. L’étiquette de marquage doit être collée sur l’emballage de façon à rendre impossible l’ouverture de l’emballage sans entraîner la destruction de l’intégrité de l’étiquette de marquage ou attachée à l’emballage (apposée sur l’emballage) de façon à rendre son utilisation ultérieure impossible. Dans ce cas, l’emballage doit être constitué de façon à rendre impossible la reconstitution de son aspect initial en cas d’ouverture.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 viande et les matières premières carnées doivent provenir de l’abattage des animaux en bonne santé, préparés dans des exploitations ou sur le territoire administratif, conformément à la régionalisation, déclarés indemnes des maladies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toutes les espèces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des bovins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Encéphalopathie spongiforme bovine – selon les recommandations du Code OIE et la classification du risque de l’encéphalopathie spongiforme bovine applicable dans le pays, la zone ou le compartiment d’exportation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bovine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Pleuropneumonie contagieuse - au cours des 24 derniers mois en cas d’importation (de transport) des poumons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Brucellose, tuberculose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Leucose enzootique – au cours des 12 derniers mois dans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des ovins et des caprins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Tremblante ovine - selon les recommandations du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des petits ruminants - au cours des 36 derniers mois dans le pays ou sur le territoire administratif, conformément à la régionalisation, ou au cours des 6 mois en cas de « stamping out » réalisé à partir de la date d’abattage du dernier animal infecté</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bovine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Brucellose, tuberculose – au cours des 6 derniers mois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des porcins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africaine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vésiculaire porcine - au cours des 12 derniers mois dans le pays ou sur le territoire administratif conformément à la régionalisation, ou au cours des 9 derniers moins dans le pays ou sur le territoire administratif conformément à la régionalisation, où le « stamping out » a été réalisé</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classique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d’Aujeszky - dans le pays, conformément aux recommandations du Code OIE, en cas d’importation (de transport) de têtes et d’organes internes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Encéphalomyélite entérovirale porcine (encéphalomyélite texo-virale porcine, maladie de Teschen) - au cours des 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Trichinellose - en l’absence de cas enregistrés au cours des 3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Syndrome reproducteur et respiratoire porcin - au cours des 6 derniers mois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la viande et les matières premières alimentaires à base de viande de bœuf et de mouton, obtenues à l’issue de l’abattage des animaux qui n’ont pas reçu d’aliments d’origine animale contenant des protéines de ruminants, à l’exception des substances recommandées par le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la viande de porc si une des conditions suivantes est remplie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chaque carcasse de porc est examinée pour la trichinellose avec un résultat négatif</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ou la viande de porc congelée, comme indiqué dans le tableau ci-dessous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tbl>
      <w:tblPr>
        <w:tblW w:w="0" w:type="auto"/>
        <w:tblCellSpacing w:w="5" w:type="dxa"/>
        <w:tblInd w:w="10" w:type="dxa"/>
        <w:tblLayout w:type="fixed"/>
        <w:tblCellMar>
          <w:top w:w="75" w:type="dxa"/>
          <w:left w:w="0" w:type="dxa"/>
          <w:bottom w:w="75" w:type="dxa"/>
          <w:right w:w="0" w:type="dxa"/>
        </w:tblCellMar>
        <w:tblLook w:val="0000"/>
      </w:tblPr>
      <w:tblGrid>
        <w:gridCol w:w="2472"/>
        <w:gridCol w:w="2706"/>
      </w:tblGrid>
      <w:tr w:rsidR="007D34EA" w:rsidRPr="0083583E" w:rsidTr="003055B0">
        <w:trPr>
          <w:tblCellSpacing w:w="5" w:type="dxa"/>
        </w:trPr>
        <w:tc>
          <w:tcPr>
            <w:tcW w:w="2457" w:type="dxa"/>
            <w:tcBorders>
              <w:top w:val="single" w:sz="8" w:space="0" w:color="auto"/>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   Temps (heures)   </w:t>
            </w:r>
          </w:p>
        </w:tc>
        <w:tc>
          <w:tcPr>
            <w:tcW w:w="2691" w:type="dxa"/>
            <w:tcBorders>
              <w:top w:val="single" w:sz="8" w:space="0" w:color="auto"/>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  Température (°C)   </w:t>
            </w:r>
          </w:p>
        </w:tc>
      </w:tr>
      <w:tr w:rsidR="007D34EA" w:rsidRPr="0083583E" w:rsidTr="003055B0">
        <w:trPr>
          <w:tblCellSpacing w:w="5" w:type="dxa"/>
        </w:trPr>
        <w:tc>
          <w:tcPr>
            <w:tcW w:w="2457"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cs="Courier New"/>
                <w:noProof/>
                <w:sz w:val="20"/>
                <w:lang w:eastAsia="fr-FR"/>
              </w:rPr>
              <w:t xml:space="preserve">106                </w:t>
            </w:r>
          </w:p>
        </w:tc>
        <w:tc>
          <w:tcPr>
            <w:tcW w:w="2691"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-18                  </w:t>
            </w:r>
          </w:p>
        </w:tc>
      </w:tr>
      <w:tr w:rsidR="007D34EA" w:rsidRPr="0083583E" w:rsidTr="003055B0">
        <w:trPr>
          <w:tblCellSpacing w:w="5" w:type="dxa"/>
        </w:trPr>
        <w:tc>
          <w:tcPr>
            <w:tcW w:w="2457"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cs="Courier New"/>
                <w:noProof/>
                <w:sz w:val="20"/>
                <w:lang w:eastAsia="fr-FR"/>
              </w:rPr>
              <w:t xml:space="preserve">82                 </w:t>
            </w:r>
          </w:p>
        </w:tc>
        <w:tc>
          <w:tcPr>
            <w:tcW w:w="2691"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-21                  </w:t>
            </w:r>
          </w:p>
        </w:tc>
      </w:tr>
      <w:tr w:rsidR="007D34EA" w:rsidRPr="0083583E" w:rsidTr="003055B0">
        <w:trPr>
          <w:tblCellSpacing w:w="5" w:type="dxa"/>
        </w:trPr>
        <w:tc>
          <w:tcPr>
            <w:tcW w:w="2457"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cs="Courier New"/>
                <w:noProof/>
                <w:sz w:val="20"/>
                <w:lang w:eastAsia="fr-FR"/>
              </w:rPr>
              <w:t xml:space="preserve">63                 </w:t>
            </w:r>
          </w:p>
        </w:tc>
        <w:tc>
          <w:tcPr>
            <w:tcW w:w="2691"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-23,5                </w:t>
            </w:r>
          </w:p>
        </w:tc>
      </w:tr>
      <w:tr w:rsidR="007D34EA" w:rsidRPr="0083583E" w:rsidTr="003055B0">
        <w:trPr>
          <w:tblCellSpacing w:w="5" w:type="dxa"/>
        </w:trPr>
        <w:tc>
          <w:tcPr>
            <w:tcW w:w="2457"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cs="Courier New"/>
                <w:noProof/>
                <w:sz w:val="20"/>
                <w:lang w:eastAsia="fr-FR"/>
              </w:rPr>
              <w:t xml:space="preserve">48                 </w:t>
            </w:r>
          </w:p>
        </w:tc>
        <w:tc>
          <w:tcPr>
            <w:tcW w:w="2691"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-26                  </w:t>
            </w:r>
          </w:p>
        </w:tc>
      </w:tr>
      <w:tr w:rsidR="007D34EA" w:rsidRPr="0083583E" w:rsidTr="003055B0">
        <w:trPr>
          <w:tblCellSpacing w:w="5" w:type="dxa"/>
        </w:trPr>
        <w:tc>
          <w:tcPr>
            <w:tcW w:w="2457"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cs="Courier New"/>
                <w:noProof/>
                <w:sz w:val="20"/>
                <w:lang w:eastAsia="fr-FR"/>
              </w:rPr>
              <w:t xml:space="preserve">35                 </w:t>
            </w:r>
          </w:p>
        </w:tc>
        <w:tc>
          <w:tcPr>
            <w:tcW w:w="2691"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-29                  </w:t>
            </w:r>
          </w:p>
        </w:tc>
      </w:tr>
      <w:tr w:rsidR="007D34EA" w:rsidRPr="0083583E" w:rsidTr="003055B0">
        <w:trPr>
          <w:tblCellSpacing w:w="5" w:type="dxa"/>
        </w:trPr>
        <w:tc>
          <w:tcPr>
            <w:tcW w:w="2457"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cs="Courier New"/>
                <w:noProof/>
                <w:sz w:val="20"/>
                <w:lang w:eastAsia="fr-FR"/>
              </w:rPr>
              <w:t xml:space="preserve">22                 </w:t>
            </w:r>
          </w:p>
        </w:tc>
        <w:tc>
          <w:tcPr>
            <w:tcW w:w="2691"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-32                  </w:t>
            </w:r>
          </w:p>
        </w:tc>
      </w:tr>
      <w:tr w:rsidR="007D34EA" w:rsidRPr="0083583E" w:rsidTr="003055B0">
        <w:trPr>
          <w:tblCellSpacing w:w="5" w:type="dxa"/>
        </w:trPr>
        <w:tc>
          <w:tcPr>
            <w:tcW w:w="2457"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cs="Courier New"/>
                <w:noProof/>
                <w:sz w:val="20"/>
                <w:lang w:eastAsia="fr-FR"/>
              </w:rPr>
              <w:t xml:space="preserve">8                  </w:t>
            </w:r>
          </w:p>
        </w:tc>
        <w:tc>
          <w:tcPr>
            <w:tcW w:w="2691"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-35                  </w:t>
            </w:r>
          </w:p>
        </w:tc>
      </w:tr>
      <w:tr w:rsidR="007D34EA" w:rsidRPr="0083583E" w:rsidTr="003055B0">
        <w:trPr>
          <w:tblCellSpacing w:w="5" w:type="dxa"/>
        </w:trPr>
        <w:tc>
          <w:tcPr>
            <w:tcW w:w="2457"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1/2                </w:t>
            </w:r>
          </w:p>
        </w:tc>
        <w:tc>
          <w:tcPr>
            <w:tcW w:w="2691" w:type="dxa"/>
            <w:tcBorders>
              <w:left w:val="single" w:sz="8" w:space="0" w:color="auto"/>
              <w:bottom w:val="single" w:sz="8" w:space="0" w:color="auto"/>
              <w:right w:val="single" w:sz="8" w:space="0" w:color="auto"/>
            </w:tcBorders>
          </w:tcPr>
          <w:p w:rsidR="007D34EA" w:rsidRPr="003055B0" w:rsidRDefault="007D34EA" w:rsidP="003055B0">
            <w:pPr>
              <w:widowControl w:val="0"/>
              <w:autoSpaceDE w:val="0"/>
              <w:autoSpaceDN w:val="0"/>
              <w:adjustRightInd w:val="0"/>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 xml:space="preserve">-37                  </w:t>
            </w:r>
          </w:p>
        </w:tc>
      </w:tr>
    </w:tbl>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interdit d’importer sur le territoire de l’Union douanière et (ou) de transporter entre les Parties la viande et les matières premières carnées, obtenues à partir des carcasses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Présentant des changements lors de l’expertise vétérinaire et sanitaire après l’abattage, caractéristiques pour la fièvre aphteuse, la peste, les infections anaérobies, la tuberculose, la leucose enzootique et d’autres maladies contagieuses, l’infection par helminthes (cysticercose, trichinellose, sarcosporidiose, onchocercose, échinococcose etc.) ainsi que les intoxications par diverses substances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Ayant subi la défrostation pendant la conservation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Présentant des signes de détérioration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Présentant une température dans l’épaisseur musculaire de la cuisse supérieure à moins 8 degrés Celsius pour la viande congelée, et supérieure à plus 4 degrés Celsius pour la viande réfrigérée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Présentant des résidus d’organes internes, des épanchements de sang dans les tissus, des abcès non éliminés, des larves d’oestre, le remplissage d’enveloppes de sérose et des noeuds lymphatiques éliminés, des additifs mécaniques ainsi que de la couleur, l’odeur, le goût non caractéristiques pour la viande (du poisson, des médicaments, des herbes etc.)</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Contenant des conservateurs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Inséminées par des salmonelles dont la quantité représente un risque pour la santé de l’homme, conformément aux exigences en vigueur sur le territoire de l’Union douanière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Traitées avec des colorants.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indices microbiologiques, physiques et chimiques, chimiques et toxicologiques et radiologiques de la viande et des matières premières carnées doivent répondre aux règles et exigences vétérinaires et sanitaires fixées sur le territoire de l’Union douanière.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6" w:name="Par2634"/>
      <w:bookmarkEnd w:id="26"/>
      <w:r w:rsidRPr="0083583E">
        <w:rPr>
          <w:rFonts w:ascii="Times New Roman" w:hAnsi="Times New Roman"/>
          <w:noProof/>
          <w:sz w:val="20"/>
          <w:lang w:eastAsia="fr-FR"/>
        </w:rPr>
        <w:t>Chapitre 23</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 ET SANITAIRES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 la viande de volaille</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la viande de volaille, issue de l’abattage de la volaille en bonne santé dans des abattoirs et transformée par des entreprises de transformation de la volaille.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 volaille dont la viande destinée à l’exportation sur le territoire de l’Union douanière est soumise à l’examen vétérinaire avant l’abattage, alors que la carcasse et les organes sont soumis à l’expertise vétérinaire et sanitaire après l’abattage.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 viande de volaille doit être déclarée propre à la consommation humaine, posséder un marquage (vétérinaire) sur l’emballage ou le poli bloc. L’étiquette de marquage doit être collée sur l’emballage de façon à rendre l’ouverture de l’emballage impossible sans la destruction de l’intégrité de l’étiquette. Si la configuration de l’emballage permet d’éviter son ouverture non autorisée, l’étiquette doit être placée sur l’emballage de façon à rendre impossible son utilisation ultérieure.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selon la 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 viande de volaille doit provenir de l’abattage de la volaille en bonne santé dans des exploitations et sur le territoire administratif, conformément à la régionalisation, officiellement indemnes des maladies contagieuses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Grippe aviaire dont la déclaration est obligatoire selon le Code OIE - au cours des 12 derniers mois dans le pays ou sur le territoire administratif ou au cours des 3 mois en cas de réalisation du « stamping out » et de résultats négatifs du contrôle épizootique,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de Newcastle - au cours des 12 derniers mois dans le pays ou sur le territoire administratif ou au cours de 3 mois en cas de réalisation du « stamping out » et de résultats négatifs du contrôle épizootique,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selon la 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La volaille arrive à l’abattage en provenance des exploitations où est mené un programme de contrôle pour la salmonellose, conformément au Code OIE.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selon la 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interdit d’importer sur le territoire douanier de l’Union douanière et (ou) de transporter entre les Parties la viande de volaille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Présentant des changements lors de l’expertise vétérinaire et sanitaire après l’abattage, caractéristiques pour différentes maladies, des infections par helminthes ainsi que des intoxications par diverses substances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Non étripée ou semi-étripée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Ne présentant pas la qualité requise pour les paramètres organoleptiques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Présentant la température dans l’épaisseur musculaire supérieure à moins 12 degrés Celsius pour la volaille congelée (la température de conservation doit être de moins 18 degrés Celsius)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Contenant des conservateurs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Inséminée par des salmonelles dont la quantité représente un risque pour la santé de l’homme, conformément aux exigences en vigueur sur le territoire de l’Union douanière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Traitée aux substances de coloration et d’odeur, par rayonnement ionisant ou des rayons ultraviolets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Présentant une pigmentation atypique pour l’espèce concernée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Présentant des signes de détérioration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 Issue de l’abattage de la volaille qui a été soumise aux effets des œstrogènes naturels ou synthétiques, des substances hormonales, des préparations thyréostatiques, des antibiotiques, des pesticides et d’autres médicaments administrés avant l’abattage après les délais recommandés par les instructions d’application.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indices microbiologiques, physiques et chimiques, chimiques et toxicologiques et radiologiques de la viande de volaille doivent répondre aux règles et exigences vétérinaires et sanitaires en vigueur sur le territoire de l’Union douanière.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7" w:name="Par2671"/>
      <w:bookmarkEnd w:id="27"/>
      <w:r w:rsidRPr="0083583E">
        <w:rPr>
          <w:rFonts w:ascii="Times New Roman" w:hAnsi="Times New Roman"/>
          <w:noProof/>
          <w:sz w:val="20"/>
          <w:lang w:eastAsia="fr-FR"/>
        </w:rPr>
        <w:t>Chapitre 24</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 ET SANITAIRES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 la viande de cheval</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de l’Union douanière et (ou) de transporter entre les Parties la viande de cheval issue de l’abattage des chevaux cliniquement en bonne santé dans des abattoirs et transformée par des entreprises de transformation de la viande.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animaux dont la viande est destinée à l’exportation sur le territoire douanier de l’Union douanière doivent subir un examen vétérinaire avant l’abattage, leurs carcasses et organes internes doivent subir une inspection vétérinaire et sanitaire effectuée par le service vétérinaire (officiel) d’État. Avant l’abattage, les animaux doivent être soumis à un examen clinique et testés pour la morve avec un résultat négatif.</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(deuxième paragraphe selon la 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carcasses de chevaux doivent avoir un label précis du contrôle vétérinaire officiel avec indication de la dénomination ou du numéro de l’abattoir (boucherie) ayant procédé à l’abattage des animaux. La viande débitée doit posséder un marquage (vétérinaire) sur l’emballage ou le poli bloc. L’étiquette de marquage doit être collée sur l’emballage de façon à rendre l’ouverture de l’emballage impossible sans la destruction de l’intégrité de l’étiquette. Si la configuration de l’emballage permet d’éviter son ouverture non autorisée, l’étiquette doit être placée sur l’emballage de façon à rendre impossible son utilisation ultérieure.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(troisième paragraphe selon la 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 viande de cheval doit être obtenue à partir des animaux préparés dans des exploitations officiellement indemnes des maladies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équine africaine - au cours des 24 derniers mois dans le pays ou sur le territoire administratif, conformément à la régionalisation ou au cours des 6 derniers mois sur le territoire de l’exploitation, si un programme de surveillance est mené dans le pays concerné</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Anémie infectieuse  – au cours des 3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Morve - au cours des 36 derniers mois dans le pays ou sur le territoire administratif, conformément à la régionalisation ou au cours des 6 derniers mois sur le territoire de l’exploitation, si un programme de surveillance est mené dans le pays concerné</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Lymphangite épizootique - au cours des 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interdit d’importer sur le territoire douanier de l’Union douanière et (ou) de transporter entre les Parties la viande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Présentant des changements lors de l’expertise vétérinaire et sanitaire après l’abattage, caractéristiques pour différentes maladies, des infections par helminthes ainsi que des intoxications par diverses substances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Présentant des résidus d’organes internes, des épanchements de sang dans les tissus, des abcès non éliminés, des larves d’œstre, le remplissage d’enveloppes de sérose et des noeuds lymphatiques éliminés, des additifs mécaniques ainsi que de la couleur, l’odeur, le goût non caractéristiques pour la viande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Présentant une température dans l’épaisseur musculaire de la cuisse supérieure à moins 8 degrés Celsius pour la viande congelée, et supérieure à plus 4 degrés Celsius pour la viande réfrigérée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Inséminée par des salmonelles et des agents pathogènes d’autres infections bactériennes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Traitée par des colorants, des rayonnements ionisants ou des rayons ultraviolets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Issue de l’abattage des animaux qui ont été soumis aux effets des œstrogènes naturels et synthétiques, des substances hormonales, des préparations thyréostatiques, des antibiotiques, des pesticides et d’autres médicaments administrés avant l’abattage après les délais recommandés par les instructions d’application.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indices microbiologiques, physiques et chimiques, chimiques et toxicologiques et radiologiques de la viande de cheval doivent répondre aux règles et exigences vétérinaires et sanitaires en vigueur sur le territoire de l’Union douanière.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8" w:name="Par2705"/>
      <w:bookmarkEnd w:id="28"/>
      <w:r w:rsidRPr="0083583E">
        <w:rPr>
          <w:rFonts w:ascii="Times New Roman" w:hAnsi="Times New Roman"/>
          <w:noProof/>
          <w:sz w:val="20"/>
          <w:lang w:eastAsia="fr-FR"/>
        </w:rPr>
        <w:t>Chapitre 25</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 ET SANITAIRES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conserves, des saucissons et d’autres produits carnés finis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de l’Union douanière et (ou) de transporter entre les Parties des produits finis à base de viande, d’abats de viande et de graisse de toutes les espèces animales, de la volaille et d’autres produits carnés destinés à la consommation humaine, fabriqués dans des entreprises de transformation de la viande (ci-après</w:t>
      </w:r>
      <w:r>
        <w:rPr>
          <w:rFonts w:ascii="Times New Roman" w:hAnsi="Times New Roman"/>
          <w:noProof/>
          <w:sz w:val="20"/>
          <w:lang w:eastAsia="fr-FR"/>
        </w:rPr>
        <w:t> :</w:t>
      </w:r>
      <w:r w:rsidRPr="0083583E">
        <w:rPr>
          <w:rFonts w:ascii="Times New Roman" w:hAnsi="Times New Roman"/>
          <w:noProof/>
          <w:sz w:val="20"/>
          <w:lang w:eastAsia="fr-FR"/>
        </w:rPr>
        <w:t xml:space="preserve"> produits carnés finis).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matières premières carnées destinées à la fabrication des produits carnés finis doivent être obtenues à partir des animaux cliniquement en bonne santé et subir une expertise vétérinaire et sanitaire.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Si le statut du pays répond aux exigences du Code OIE, il est interdit de décharger sur le territoire de l’Union douanière des produits carnés finis issus de l’abattage des animaux soumis aux effets des œstrogènes naturels ou synthétiques, des substances hormonales, des préparations thyréostatiques, des antibiotiques, des pesticides et d’autres médicaments administrés avant l’abattage après les délais recommandés par les instructions d’application.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produits carnés finis doivent être déclarés propres à la consommation humaine. Les produits doivent posséder un marquage (vétérinaire) sur leur emballage. L’étiquette de marquage doit être collée sur l’emballage de façon à rendre l’ouverture de l’emballage impossible sans la destruction de l’intégrité de l’étiquette. Si la configuration de l’emballage permet d’éviter son ouverture non autorisée, l’étiquette doit être placée sur l’emballage de façon à rendre impossible son utilisation ultérieure.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(quatrième paragraphe selon la 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indices microbiologiques, chimiques et toxicologiques et radiologiques des produits carnés finis doivent répondre aux règles et exigences vétérinaires et sanitaires en vigueur sur le territoire de l’Union douanière.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produits carnés finis dans des emballages hermétiques et dans des récipients intacts.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29" w:name="Par2726"/>
      <w:bookmarkEnd w:id="29"/>
      <w:r w:rsidRPr="0083583E">
        <w:rPr>
          <w:rFonts w:ascii="Times New Roman" w:hAnsi="Times New Roman"/>
          <w:noProof/>
          <w:sz w:val="20"/>
          <w:lang w:eastAsia="fr-FR"/>
        </w:rPr>
        <w:t>Chapitre 26</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 ET SANITAIRES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 la viande des lapins domestiques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la viande des lapins domestiques issue de l’abattage des animaux en bonne santé dans des abattoirs et transformée par des entreprises de transformation de la viande.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lapins sont soumis à l’examen vétérinaire avant l’abattage, leurs carcasses et organes sont soumis à l’expertise vétérinaire et sanitaire après l’abattage. La viande des lapins doit être déclarée propre à la consommation humaine et posséder un marquage (vétérinaire) sur son emballage. L’étiquette de marquage doit être collée sur l’emballage de façon à rendre impossible l’ouverture de l’emballage sans la destruction de l’intégrité de l’étiquette de marquage.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 viande doit provenir de l’abattage des lapins en bonne santé dans des exploitations et (ou) sur le territoire administratif, conformément à la régionalisation, officiellement indemnes des maladies contagieuses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Myxomatose, tularémie, pasteurellose, listériose – au cours des 6 derniers mois dans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hémorragique des lapins – au cours des 60 derniers jours sur le territoire de l’exploitation avant le départ des animaux à l’abattage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interdit d’importer sur le territoire douanier de l’Union douanière et (ou) de transporter entre les Parties la viande des lapins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Présentant des changements lors de l’expertise vétérinaire et sanitaire après l’abattage, caractéristiques pour différentes maladies, des infections par helminthes ainsi que des intoxications par diverses substances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Ne présentant pas la qualité requise pour les paramètres organoleptiques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Contenant des conservateurs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Inséminée par des salmonelles ou des agents pathogènes d’autres infections bactériennes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Traitée par des substances de coloration et d’odeur, par rayonnement ionisant ou des rayons ultraviolets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Présentant une pigmentation sombre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Soumise à la défrostation pendant la conservation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Présentant la température dans l’épaisseur musculaire supérieure à moins 12 degrés Celsius pour la viande congelée de lapins (la température de conservation doit être de moins 18 degrés Celsius)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 Issue de l’abattage des lapins soumis aux effets des œstrogènes naturels ou synthétiques, des substances hormonales, des préparations thyréostatiques, des antibiotiques, des pesticides et d’autres médicaments administrés avant l’abattage après les délais recommandés par les instructions d’application.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indices microbiologiques, physiques et chimiques, chimiques et toxicologiques et radiologiques de la viande doivent répondre aux règles et exigences vétérinaires et sanitaires en vigueur sur le territoire de l’Union douanière.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0" w:name="Par2759"/>
      <w:bookmarkEnd w:id="30"/>
      <w:r w:rsidRPr="0083583E">
        <w:rPr>
          <w:rFonts w:ascii="Times New Roman" w:hAnsi="Times New Roman"/>
          <w:noProof/>
          <w:sz w:val="20"/>
          <w:lang w:eastAsia="fr-FR"/>
        </w:rPr>
        <w:t>Chapitre 27</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 ET SANITAIRES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du lait obtenu des bovins et des ovins et des produits laitiers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du lait et des produits laitiers obtenus à partir des animaux en bonne santé provenant des exploitations, officiellement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bovine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des petits ruminants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Pleuropneumonie contagieuse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Leucose enzootique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Brucellose bovine, tuberculose, paratuberculose – au cours des 6 derniers mois dans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Brucellose ovine et caprine, tuberculose MPC - au cours des 6 derniers mois dans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Variole ovine et caprine - au cours des 6 derniers mois dans le pays ou sur le territoire administratif, conformément à la régionalisation.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 lait utilisé pour la fabrication des produits laitiers a subi un traitement thermique suffisant pour l’élimination des micro-organismes pathogènes présentant un risque pour la santé de l’homme. Les produits laitiers livrés doivent subir un processus de transformation permettant de garantir l’absence de la flore pathogène vitale. Les produits laitiers doivent être déclarées propres à la consommation.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indices microbiologiques, physiques et chimiques, chimiques et toxicologiques et radiologiques du lait et des produits laitiers doivent répondre aux règles et exigences vétérinaires et sanitaires en vigueur sur le territoire de l’Union douanière.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interdit d’importer sur le territoire douanier de l’Union douanière et (ou) de transporter entre les Parties du lait et des produits laitiers présentant des paramètres organoleptiques modifiés ou dans un emballage détérioré.</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1" w:name="Par2785"/>
      <w:bookmarkEnd w:id="31"/>
      <w:r w:rsidRPr="0083583E">
        <w:rPr>
          <w:rFonts w:ascii="Times New Roman" w:hAnsi="Times New Roman"/>
          <w:noProof/>
          <w:sz w:val="20"/>
          <w:lang w:eastAsia="fr-FR"/>
        </w:rPr>
        <w:t>Chapitre 28</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 ET SANITAIRES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 la viande d’animaux sauvages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la viande d’animaux sauvages (gibier volatile) et d’animaux exotiques tels que crocodile, kangourou, tortue, autruche et autres, autorisés à la chasse, y compris ceux qui sont élevés sur un territoire ou dans un habitat fermé, obtenue par des entreprises de transformation de la viande.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 viande doit provenir de l’abattage des animaux en bonne santé (gibier volatile) et des animaux exotiques qui habitaient (étaient élevés) dans des chasses ou des entreprises d’élevage, officiellement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toutes les espèces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Rage - au cours des 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la chasse, de l’exploitation ou d’un autre lieu d’habitat</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grands ruminants artiodactyles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Pleuropneumonie contagieuse bovine et ovine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bovine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des petits ruminants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Septicémie hémorragique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Encéphalopathie spongiforme bovine et tremblante ovine - dans le pays conformément aux exigences du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307 du Collège de la Commission économique eurasienne du 25.12.2012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Dermatose nodulaire contagieuse (pearl disease) des bovins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de la vallée du Rift - au cours des 4 dernières années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307 du Collège de la Commission économique eurasienne du 25.12.2012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Brucellose, tuberculose – au cours des 6 derniers mois sur le territoire de l’exploitation (de l’élevage), de la chasse ou d’un autre lieu d’habitat</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éliminé à partir du 1er février 2013. - décision n° 274 du Collège de la Commission économique eurasienne du 12.12.2012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petits ruminants artiodactyles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Tremblante ovine - dans le pays, conformément aux exigences du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274 du Collège de la Commission économique eurasienne du 12.12.2012)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bovine, peste des petits ruminants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de la vallée du Rift - au cours des 48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Pleuropneumonie contagieuse, fièvre catarrhale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septième et le huitième paragraphes sont éliminés. - décision n° 307 du Collège de la Commission économique eurasienne du 25.12.2012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Maedi-Visna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Tuberculose, brucellose – au cours des 6 derniers mois sur le territoire de l’exploitation (de l’élevage), de la chasse ou d’un autre lieu d’habitat</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Variole ovine et caprine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petits non-ruminants artiodactyles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africaine - dans le pays ou sur le territoire administratif, conformément aux recommandations du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307 du Collège de la Commission économique eurasienne du 25.12.2012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classique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sixième et le septième paragraphes sont éliminés. -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non-artiodactyles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Lymphangite épizootique - au cours des 12 mois sur le territoire de l’exploitation (de l’élevage), de la chasse ou d’un autre lieu d’habitat</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Morve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cinquième et le sixième paragraphes sont éliminés. -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lapins et les lièvres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Myxomatose, tularémie, pasteurellose, listériose - au cours des 6 mois sur le territoire de l’exploitation (de l’élevage), de la chasse ou d’un autre lieu d’habitat</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hémorragique virale des lapins - au cours des 12 derniers mois dans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 gibier volatile (volaille)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Grippe aviaire de tous les sérotypes - au cours des 6 mois dans le pays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de Newcastle - au cours des 12 derniers mois dans le pays ou sur le territoire administratif ou au cours des 3 mois en cas de réalisation du « stamping out » (si la maladie a touché la volaille domestique) et de résultats négatifs du contrôle épizootique,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Variole-diftérite, ornithose – au cours des 6 derniers mois sur le territoire de l’exploitation (de l’élevage), de la chasse ou d’un autre lieu d’habitat.</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animaux sauvages (gibier volatile) et les animaux exotiques dont la viande est destinée à l’importation sur le territoire de l’Union douanière sont soumis, avant l’abattage, à l’examen vétérinaire, alors que les têtes, organes internes et carcasses (de tous les animaux) sont soumis à l’expertise vétérinaire et sanitaire après l’abattage.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 viande doit être déclarée propre à la consommation.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carcasses doivent avoir un label précis du contrôle vétérinaire officiel avec indication de la dénomination ou du numéro de l’abattoir (boucherie) ayant procédé à l’abattage des animaux sauvages. La viande débitée doit posséder un marquage (vétérinaire) sur l’emballage ou le poli bloc. L’étiquette de marquage doit être collée sur l’emballage de façon à rendre l’ouverture de l’emballage impossible sans la destruction de l’intégrité de l’étiquette. Si la configuration de l’emballage permet d’éviter son ouverture non autorisée, l’étiquette doit être placée sur l’emballage de façon à rendre impossible son utilisation ultérieure.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(douzième paragraphe selon la 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L’expertise vétérinaire et sanitaire de la viande et d’autres matières premières carnées ne doit révéler aucun changement caractéristique pour les maladies contagieuses ainsi que pour les infections par helminthes, les enveloppes séroses ne sont pas nettoyés, les nœuds lymphatiques ne sont pas supprimés.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 viande d’animaux (chaque carcasse) doit être examinée pour la trichinellose avec un résultat négatif.</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 viande ne doit pas comporter d’hématomes, d’abcès non éliminés, de larves d’œstre, d’encrassements mécaniques, d’odeur non caractéristique pour la viande et de goût du poisson, des plantes médicinales, des substances etc.</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 viande doit être conservée et transportée dans le respect du régime de température, avoir la température dans l’épaisseur musculaire de la cuisse inférieure à moins 8 degrés Celsius pour la viande congelée (conservation à moins 18 degrés Celsius) et supérieure à plus 4 degrés Celsius pour la viande réfrigérée</w:t>
      </w:r>
      <w:r>
        <w:rPr>
          <w:rFonts w:ascii="Times New Roman" w:hAnsi="Times New Roman"/>
          <w:noProof/>
          <w:sz w:val="20"/>
          <w:lang w:eastAsia="fr-FR"/>
        </w:rPr>
        <w:t> ;</w:t>
      </w:r>
      <w:r w:rsidRPr="0083583E">
        <w:rPr>
          <w:rFonts w:ascii="Times New Roman" w:hAnsi="Times New Roman"/>
          <w:noProof/>
          <w:sz w:val="20"/>
          <w:lang w:eastAsia="fr-FR"/>
        </w:rPr>
        <w:t xml:space="preserve"> elle ne doit pas être soumise à la défrostation, comporter des conservateurs, être inséminée par des salmonelles ou agents pathogènes d’autres infections bactériennes, elle ne doit pas être traitée avec des colorants, des rayons ionisants ou des rayons ultraviolets.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indices microbiologiques, physiques et chimiques, chimiques et toxicologiques et radiologiques de la viande doivent répondre aux règles et exigences vétérinaires et sanitaires en vigueur sur le territoire de l’Union douanière.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2" w:name="Par2860"/>
      <w:bookmarkEnd w:id="32"/>
      <w:r w:rsidRPr="0083583E">
        <w:rPr>
          <w:rFonts w:ascii="Times New Roman" w:hAnsi="Times New Roman"/>
          <w:noProof/>
          <w:sz w:val="20"/>
          <w:lang w:eastAsia="fr-FR"/>
        </w:rPr>
        <w:t>Chapitre 29</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 ET SANITAIRES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de l’importation sur le territoire douanier de l’Union douanière et (ou) le transport entre les Parties des produits alimentaires à base de poisson, des crustacés, des mollusques, d’autres objets de pêche et des produits issus de leur transformation</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produits issus des ressources biologiques aquatiques (poisson frais, réfrigéré, congelé, caviar, crustacés, mollusques, invertébrés et autres animaux aquatiques et objets de pêche), (ci-après</w:t>
      </w:r>
      <w:r>
        <w:rPr>
          <w:rFonts w:ascii="Times New Roman" w:hAnsi="Times New Roman"/>
          <w:noProof/>
          <w:sz w:val="20"/>
          <w:lang w:eastAsia="fr-FR"/>
        </w:rPr>
        <w:t> :</w:t>
      </w:r>
      <w:r w:rsidRPr="0083583E">
        <w:rPr>
          <w:rFonts w:ascii="Times New Roman" w:hAnsi="Times New Roman"/>
          <w:noProof/>
          <w:sz w:val="20"/>
          <w:lang w:eastAsia="fr-FR"/>
        </w:rPr>
        <w:t xml:space="preserve"> produits à base de poisson), élevés ou pêchés dans des réservoirs (bassins d’eau) écologiquement purs ainsi que des produits alimentaires issus de leur transformation, obtenus par des entreprises qui ne sont pas visées par des restrictions vétérinaires et sanitaires.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 et la décision n° 307 dudit Collège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produits à base de poisson doivent être examinés pour la présence des parasites, des infections bactériennes et virales.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En cas de présence des parasites dans les limites autorisées, les produits à base de poisson doivent être neutralisés à l’aide des méthodes appropriées.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interdit d’importer sur le territoire douanier de l’Union douanière et (ou) de transporter entre les Parties les produits à base de poisson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Congelés, dont la température dans l’épaisseur du produit est supérieure à moins 18 degrés Celsius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Inséminés par des salmonelles ou des agents pathogènes d’autres infections bactériennes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Traités par des colorants, des rayonnements ionisants ou des rayons ultraviolets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Présentant des changements caractéristiques pour les maladies contagieuses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Ne présentant pas la qualité requise pour les paramètres organoleptiques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Ayant subi la défrostation pendant la conservation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Poissons venimeux des familles</w:t>
      </w:r>
      <w:r>
        <w:rPr>
          <w:rFonts w:ascii="Times New Roman" w:hAnsi="Times New Roman"/>
          <w:noProof/>
          <w:sz w:val="20"/>
          <w:lang w:eastAsia="fr-FR"/>
        </w:rPr>
        <w:t> :</w:t>
      </w:r>
      <w:r w:rsidRPr="0083583E">
        <w:rPr>
          <w:rFonts w:ascii="Times New Roman" w:hAnsi="Times New Roman"/>
          <w:noProof/>
          <w:sz w:val="20"/>
          <w:lang w:eastAsia="fr-FR"/>
        </w:rPr>
        <w:t xml:space="preserve"> (Tetraodontidae, Molidae, Diodontidae et Canthigasteridae)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Contenant des biotoxines présentant un risque pour la santé de l’homme.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569 de la Commission de l’Union douanière du 02.03.2011)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mollusques bivalves, échinodermes, tuniciers et gastropodes marins (ci-après</w:t>
      </w:r>
      <w:r>
        <w:rPr>
          <w:rFonts w:ascii="Times New Roman" w:hAnsi="Times New Roman"/>
          <w:noProof/>
          <w:sz w:val="20"/>
          <w:lang w:eastAsia="fr-FR"/>
        </w:rPr>
        <w:t> :</w:t>
      </w:r>
      <w:r w:rsidRPr="0083583E">
        <w:rPr>
          <w:rFonts w:ascii="Times New Roman" w:hAnsi="Times New Roman"/>
          <w:noProof/>
          <w:sz w:val="20"/>
          <w:lang w:eastAsia="fr-FR"/>
        </w:rPr>
        <w:t xml:space="preserve"> mollusques) doivent être placés en quarantaine dans les centres de nettoyage.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Lors de l’expertise vétérinaire et sanitaire, les produits à base de poisson doivent être déclarés propres à la consommation et ils ne doivent pas contenir des œstrogènes naturels ou synthétiques, des substances hormonales, des préparations thyréostatiques, des antibiotiques, d’autres médicaments et pesticides.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623 de la Commission de l’Union douanière du 07.04.2011)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indices microbiologiques, physiques et chimiques, chimiques et toxicologiques et radiologiques des produits à base de poisson, la teneur en phytotoxines et autres contaminants (pour des mollusques) doivent répondre aux règles et exigences vétérinaires et sanitaires en vigueur sur le territoire de l’Union douanière.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3" w:name="Par2892"/>
      <w:bookmarkEnd w:id="33"/>
      <w:r w:rsidRPr="0083583E">
        <w:rPr>
          <w:rFonts w:ascii="Times New Roman" w:hAnsi="Times New Roman"/>
          <w:noProof/>
          <w:sz w:val="20"/>
          <w:lang w:eastAsia="fr-FR"/>
        </w:rPr>
        <w:t>Chapitre 30</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 ET SANITAIRES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du miel naturel et des produits d’apiculture</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du miel naturel et des produits d’apiculture, obtenus dans des exploitations (ruchers) et sur le territoire administratif conformément à la régionalisation, indemnes de baccilus larvae, baccilus larvae européen, nosématose - au cours des 3 derniers mois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 et la décision n° 307 dudit Collège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 miel et les produits d’apiculture doivent être déclarés propres à la consommation.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interdit d’importer sur le territoire douanier de l’Union douanière et (ou) de transporter entre les Parties du miel naturel et des produits d’apiculture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Présentant des changements organoleptiques, des indices physiques et chimiques ou des détériorations de l’emballage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Contenant des œstrogènes naturels ou synthétiques, des substances hormonales, des préparations thyréostatiques.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 miel naturel et les produits d’apiculture ne peuvent pas contenir de résidus des médicaments, par exemple, de chloramphénicol, chlorpharmasine, colchicine, diapson, dimetridasol, nitrofuran, ronidasol et cumafos - 100 mkg/kg au maximum, et amitras - 200 mkg/kg au maximum.</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 miel et les produits d’apiculture ne doivent pas contenir de résidus d’autres médicaments utilisés pour la guérison et le traitement des abeilles. Le producteur doit indiquer tous les pesticides utilisés au cours de la récolte du miel et de la fabrication des produits d’apiculture.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indices chimiques et toxicologiques (métaux lourds, pesticides), radiologiques et autres indices du miel et des produits d’apiculture doivent répondre aux règles et normes vétérinaires et sanitaires en vigueur sur le territoire de l’Union douanière.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4" w:name="Par2913"/>
      <w:bookmarkEnd w:id="34"/>
      <w:r w:rsidRPr="0083583E">
        <w:rPr>
          <w:rFonts w:ascii="Times New Roman" w:hAnsi="Times New Roman"/>
          <w:noProof/>
          <w:sz w:val="20"/>
          <w:lang w:eastAsia="fr-FR"/>
        </w:rPr>
        <w:t>Chapitre 31</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 ET SANITAIRES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 la poudre d’œufs, du mélange, de l’albumine et d’autres produits alimentaires issus de la transformation des œufs de poule</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la poudre d’œufs, le mélange, l’albumine et d’autres produits alimentaires issus de la transformation des œufs de poule, obtenus chez la volaille en bonne santé dans des exploitations indemnes des maladies contagieuses animales et fabriqués dans des entreprises qui ne sont pas visées par des restrictions vétérinaires et sanitaires.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 et la décision n° 307 dudit Collège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œufs destinés à la transformation doivent provenir des exploitations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Grippe aviaire dont la déclaration est obligatoire selon le Code OIE - au cours des 12 derniers mois dans le pays ou sur le territoire administratif ou au cours des 3 mois en cas de réalisation du « stamping out » et de résultats négatifs du contrôle épizootique,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830 de la Commission de l’Union douanière du 18.10.2011</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de Newcastle – au cours des 12 derniers mois dans le pays ou sur le territoire administratif, conformément à la régionalisation ou au cours des 3 mois en cas de réalisation du « stamping out » et de résultats négatifs du contrôle épizootique ou si la marchandise a fait l’objet d’un traitement garantissant l’inactivation (désinfection) du virus de la maladie de Newcastle conformément aux dispositions du Code OIE et que, après ce traitement, toutes les mesures nécessaires ont été prises pour empêcher tout contact des ovoproduits avec la source potentielle du virus de la maladie de Newcastle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interdit d’importer sur le territoire douanier de l’Union douanière et (ou) de transporter entre les Parties des produits alimentaires à base d’œufs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Présentant des changements organoleptiques ou si l’intégrité de leur emballage est détériorée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Inséminés par des salmonelles et des agents pathogènes d’autres infections bactériennes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Traités par des éléments chimiques, des rayonnements ionisants ou des rayons ultraviolets.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produits livrés à base d’œufs ou contenant des œufs doivent être soumis au processus de traitement permettant de garantir l’absence de la flore pathogène vitale.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produits alimentaires à base d’œufs doivent être déclarés propres à la consommation humaine et à la vente libre sans restrictions par le service officiel compétent du pays d’exportation.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indices microbiologiques, physiques et chimiques, chimiques et toxicologiques et radiologiques des produits alimentaires à base d’œufs doivent répondre aux règles et exigences vétérinaires et sanitaires en vigueur sur le territoire de l’Union douanière.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5" w:name="Par2943"/>
      <w:bookmarkEnd w:id="35"/>
      <w:r w:rsidRPr="0083583E">
        <w:rPr>
          <w:rFonts w:ascii="Times New Roman" w:hAnsi="Times New Roman"/>
          <w:noProof/>
          <w:sz w:val="20"/>
          <w:lang w:eastAsia="fr-FR"/>
        </w:rPr>
        <w:t>Chapitre 32</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 ET SANITAIRES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œufs comestibles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œufs comestibles obtenus chez la volaille en bonne santé dans des exploitations indemnes des maladies contagieuses animales et produits dans des entreprises qui ne sont pas visées par des restrictions vétérinaires et sanitaires.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 et la décision n° 307 dudit Collège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L’œuf doit provenir des exploitations indemnes des maladies contagieuses des animaux et des oiseaux</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Grippe dont la déclaration est obligatoire conformément au Code OIE - au cours des 6 derniers mois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307 du Collège de la Commission économique eurasienne du 25.12.2012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de Newcastle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Ornithose (psittacose), encéphalomyélite infectieuse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L’œuf comestible doit être déclaré propre à la consommation humaine.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indices microbiologiques, chimiques et toxicologiques et radiologiques des œufs comestibles doivent répondre aux règles et exigences sanitaires et vétérinaires en vigueur sur le territoire de l’Union douanière.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6" w:name="Par2965"/>
      <w:bookmarkEnd w:id="36"/>
      <w:r w:rsidRPr="0083583E">
        <w:rPr>
          <w:rFonts w:ascii="Times New Roman" w:hAnsi="Times New Roman"/>
          <w:noProof/>
          <w:sz w:val="20"/>
          <w:lang w:eastAsia="fr-FR"/>
        </w:rPr>
        <w:t>Chapitre 33</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 ET SANITAIRES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matières premières à base de cuir, de cornes et sabots, d’intestins, de duvet et de fourrure, de peau de mouton et d’agneau, de la laine et du duvet de chèvre, des cheveux, du crin de cheval, des plumes et du duvet de poules, de canards, d’oies et d’autres oiseaux</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matières premières à base de cuir, de cornes et sabots, d’intestins, de duvet et de fourrure, de peau de mouton et d’agneau, de la laine, du duvet de chèvre, des cheveux, du crin de cheval, des plumes et du duvet de poules, de canards, d’oies et d’autres oiseaux ainsi que d’autres matières premières animales, obtenues des animaux (oiseaux) en bonne santé provenant des exploitations officiellement indemnes des maladies contagieuses animales et fabriquées dans des entreprises.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 et la décision n° 307 dudit Collège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matières premières proviennent des exploitations indemnes des maladies contagieuses des espèces d’animaux (d’oiseaux) vulnérables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Encéphalopathie spongiforme bovine et tremblante ovine - conformément aux exigences du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africaine, peste équine africaine et peste bovine et ovine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569 de la Commission de l’Union douanière du 02.03.2011)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Dermatose nodulaire contagieuse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Variole ovine et caprine - au cours des 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Grippe aviaire dont la déclaration est obligatoire selon le Code OIE - au cours des 12 derniers mois dans le pays ou sur le territoire administratif ou au cours des 3 mois en cas de réalisation du « stamping out » et de résultats négatifs du contrôle épizootique,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de Newcastle - au cours des 12 derniers mois dans le pays ou sur le territoire administratif ou au cours des 3 mois en cas de réalisation du « stamping out » et de résultats négatifs du contrôle épizootique,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matières premières à base de cuir, de peau de mouton et d’agneau, ainsi que les matières premières combinées de duvet et de fourrure doivent être examinées pour la fièvre charbonneuse.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(troisième paragraphe selon la version approuvée par la décision n° 623 de la Commission de l’Union douanière du 07.04.2011)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matières premières à base de cuir et de fourrure doivent posséder un marquage précis (étiquette).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méthodes de conservation doivent répondre aux exigences internationales et garantir la sécurité vétérinaire et sanitaire des matières premières.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interdit d’importer sur le territoire douanier de l’Union douanière des matières premières combinées, à l’exception de celles à base de duvet et de fourrure.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 laine, le duvet de chèvre, les poils, le crin de cheval, le duvet et les plumes non soumis au lavage chaud sont envoyés pour traitement ultérieur (lavage et désinfection) dans les entreprises de la Partie sur le territoire de laquelle ils ont été importés ou transportés.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7" w:name="Par3001"/>
      <w:bookmarkEnd w:id="37"/>
      <w:r w:rsidRPr="0083583E">
        <w:rPr>
          <w:rFonts w:ascii="Times New Roman" w:hAnsi="Times New Roman"/>
          <w:noProof/>
          <w:sz w:val="20"/>
          <w:lang w:eastAsia="fr-FR"/>
        </w:rPr>
        <w:t>Chapitre 34</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 ET SANITAIRES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 la farine alimentaire à base de poisson, de mammifères marins, de crustacés et d’invertébrés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 la farine alimentaire à base de poisson, de mammifères marins, de crustacés et d’invertébrés, obtenus lors de la transformation de ceux-ci, destinée à la fabrication des aliments combinés et des aliments pour animaux agricoles, oiseaux et animaux à duvet (ci-après</w:t>
      </w:r>
      <w:r>
        <w:rPr>
          <w:rFonts w:ascii="Times New Roman" w:hAnsi="Times New Roman"/>
          <w:noProof/>
          <w:sz w:val="20"/>
          <w:lang w:eastAsia="fr-FR"/>
        </w:rPr>
        <w:t> :</w:t>
      </w:r>
      <w:r w:rsidRPr="0083583E">
        <w:rPr>
          <w:rFonts w:ascii="Times New Roman" w:hAnsi="Times New Roman"/>
          <w:noProof/>
          <w:sz w:val="20"/>
          <w:lang w:eastAsia="fr-FR"/>
        </w:rPr>
        <w:t xml:space="preserve"> farine à base de poisson), provenant des entreprises. La farine à base de poisson doit être fabriquée dans des entreprises qui ne sont pas visées par des restrictions vétérinaires et sanitaires et qui sont situées sur les territoires indemnes des maladies contagieuses animales.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 et la décision n° 307 dudit Collège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 farine à base de poisson doit répondre aux exigences vétérinaires et sanitaires suivantes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tbl>
      <w:tblPr>
        <w:tblW w:w="0" w:type="auto"/>
        <w:tblLook w:val="00BF"/>
      </w:tblPr>
      <w:tblGrid>
        <w:gridCol w:w="3960"/>
        <w:gridCol w:w="6387"/>
      </w:tblGrid>
      <w:tr w:rsidR="007D34EA" w:rsidRPr="0083583E" w:rsidTr="003055B0">
        <w:tc>
          <w:tcPr>
            <w:tcW w:w="3960" w:type="dxa"/>
          </w:tcPr>
          <w:p w:rsidR="007D34EA" w:rsidRPr="003055B0" w:rsidRDefault="007D34EA" w:rsidP="003055B0">
            <w:pPr>
              <w:spacing w:after="0" w:line="240" w:lineRule="auto"/>
              <w:rPr>
                <w:rFonts w:ascii="Times New Roman" w:hAnsi="Times New Roman"/>
                <w:noProof/>
                <w:sz w:val="20"/>
                <w:lang w:eastAsia="fr-FR"/>
              </w:rPr>
            </w:pPr>
            <w:r w:rsidRPr="003055B0">
              <w:rPr>
                <w:rFonts w:ascii="Times New Roman" w:hAnsi="Times New Roman"/>
                <w:noProof/>
                <w:sz w:val="20"/>
                <w:lang w:eastAsia="fr-FR"/>
              </w:rPr>
              <w:t xml:space="preserve">Diffusion bactérienne générale </w:t>
            </w:r>
          </w:p>
        </w:tc>
        <w:tc>
          <w:tcPr>
            <w:tcW w:w="6387" w:type="dxa"/>
          </w:tcPr>
          <w:p w:rsidR="007D34EA" w:rsidRPr="003055B0" w:rsidRDefault="007D34EA" w:rsidP="003055B0">
            <w:pPr>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max. 500000 cellules microbiennes par g. :</w:t>
            </w:r>
          </w:p>
        </w:tc>
      </w:tr>
      <w:tr w:rsidR="007D34EA" w:rsidRPr="0083583E" w:rsidTr="003055B0">
        <w:tc>
          <w:tcPr>
            <w:tcW w:w="3960" w:type="dxa"/>
          </w:tcPr>
          <w:p w:rsidR="007D34EA" w:rsidRPr="003055B0" w:rsidRDefault="007D34EA" w:rsidP="003055B0">
            <w:pPr>
              <w:spacing w:after="0" w:line="240" w:lineRule="auto"/>
              <w:rPr>
                <w:rFonts w:ascii="Times New Roman" w:hAnsi="Times New Roman"/>
                <w:noProof/>
                <w:sz w:val="20"/>
                <w:lang w:eastAsia="fr-FR"/>
              </w:rPr>
            </w:pPr>
            <w:r w:rsidRPr="003055B0">
              <w:rPr>
                <w:rFonts w:ascii="Times New Roman" w:hAnsi="Times New Roman"/>
                <w:noProof/>
                <w:sz w:val="20"/>
                <w:lang w:eastAsia="fr-FR"/>
              </w:rPr>
              <w:t>Microflore pathogène</w:t>
            </w:r>
          </w:p>
        </w:tc>
        <w:tc>
          <w:tcPr>
            <w:tcW w:w="6387" w:type="dxa"/>
          </w:tcPr>
          <w:p w:rsidR="007D34EA" w:rsidRPr="003055B0" w:rsidRDefault="007D34EA" w:rsidP="003055B0">
            <w:pPr>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non autorisé(e) ;</w:t>
            </w:r>
          </w:p>
        </w:tc>
      </w:tr>
      <w:tr w:rsidR="007D34EA" w:rsidRPr="0083583E" w:rsidTr="003055B0">
        <w:tc>
          <w:tcPr>
            <w:tcW w:w="3960" w:type="dxa"/>
          </w:tcPr>
          <w:p w:rsidR="007D34EA" w:rsidRPr="003055B0" w:rsidRDefault="007D34EA" w:rsidP="003055B0">
            <w:pPr>
              <w:spacing w:after="0" w:line="240" w:lineRule="auto"/>
              <w:rPr>
                <w:rFonts w:ascii="Times New Roman" w:hAnsi="Times New Roman"/>
                <w:noProof/>
                <w:sz w:val="20"/>
                <w:lang w:eastAsia="fr-FR"/>
              </w:rPr>
            </w:pPr>
            <w:r w:rsidRPr="003055B0">
              <w:rPr>
                <w:rFonts w:ascii="Times New Roman" w:hAnsi="Times New Roman"/>
                <w:noProof/>
                <w:sz w:val="20"/>
                <w:lang w:eastAsia="fr-FR"/>
              </w:rPr>
              <w:t>y compris des salmonelles dans 25 g.</w:t>
            </w:r>
          </w:p>
        </w:tc>
        <w:tc>
          <w:tcPr>
            <w:tcW w:w="6387" w:type="dxa"/>
          </w:tcPr>
          <w:p w:rsidR="007D34EA" w:rsidRPr="003055B0" w:rsidRDefault="007D34EA" w:rsidP="003055B0">
            <w:pPr>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non autorisées ;</w:t>
            </w:r>
          </w:p>
        </w:tc>
      </w:tr>
      <w:tr w:rsidR="007D34EA" w:rsidRPr="0083583E" w:rsidTr="003055B0">
        <w:tc>
          <w:tcPr>
            <w:tcW w:w="3960" w:type="dxa"/>
          </w:tcPr>
          <w:p w:rsidR="007D34EA" w:rsidRPr="003055B0" w:rsidRDefault="007D34EA" w:rsidP="003055B0">
            <w:pPr>
              <w:spacing w:after="0" w:line="240" w:lineRule="auto"/>
              <w:rPr>
                <w:rFonts w:ascii="Times New Roman" w:hAnsi="Times New Roman"/>
                <w:noProof/>
                <w:sz w:val="20"/>
                <w:lang w:eastAsia="fr-FR"/>
              </w:rPr>
            </w:pPr>
            <w:r w:rsidRPr="003055B0">
              <w:rPr>
                <w:rFonts w:ascii="Times New Roman" w:hAnsi="Times New Roman"/>
                <w:noProof/>
                <w:sz w:val="20"/>
                <w:lang w:eastAsia="fr-FR"/>
              </w:rPr>
              <w:t>Esherichia entéropathogènes</w:t>
            </w:r>
          </w:p>
        </w:tc>
        <w:tc>
          <w:tcPr>
            <w:tcW w:w="6387" w:type="dxa"/>
          </w:tcPr>
          <w:p w:rsidR="007D34EA" w:rsidRPr="003055B0" w:rsidRDefault="007D34EA" w:rsidP="003055B0">
            <w:pPr>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non autorisées ;</w:t>
            </w:r>
          </w:p>
        </w:tc>
      </w:tr>
      <w:tr w:rsidR="007D34EA" w:rsidRPr="0083583E" w:rsidTr="003055B0">
        <w:tc>
          <w:tcPr>
            <w:tcW w:w="3960" w:type="dxa"/>
          </w:tcPr>
          <w:p w:rsidR="007D34EA" w:rsidRPr="003055B0" w:rsidRDefault="007D34EA" w:rsidP="003055B0">
            <w:pPr>
              <w:spacing w:after="0" w:line="240" w:lineRule="auto"/>
              <w:rPr>
                <w:rFonts w:ascii="Times New Roman" w:hAnsi="Times New Roman"/>
                <w:noProof/>
                <w:sz w:val="20"/>
                <w:lang w:eastAsia="fr-FR"/>
              </w:rPr>
            </w:pPr>
            <w:r w:rsidRPr="003055B0">
              <w:rPr>
                <w:rFonts w:ascii="Times New Roman" w:hAnsi="Times New Roman"/>
                <w:noProof/>
                <w:sz w:val="20"/>
                <w:lang w:eastAsia="fr-FR"/>
              </w:rPr>
              <w:t>Toxine botulique</w:t>
            </w:r>
          </w:p>
        </w:tc>
        <w:tc>
          <w:tcPr>
            <w:tcW w:w="6387" w:type="dxa"/>
          </w:tcPr>
          <w:p w:rsidR="007D34EA" w:rsidRPr="003055B0" w:rsidRDefault="007D34EA" w:rsidP="003055B0">
            <w:pPr>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non autorisé(e) ;</w:t>
            </w:r>
          </w:p>
        </w:tc>
      </w:tr>
      <w:tr w:rsidR="007D34EA" w:rsidRPr="0083583E" w:rsidTr="003055B0">
        <w:tc>
          <w:tcPr>
            <w:tcW w:w="3960" w:type="dxa"/>
          </w:tcPr>
          <w:p w:rsidR="007D34EA" w:rsidRPr="003055B0" w:rsidRDefault="007D34EA" w:rsidP="003055B0">
            <w:pPr>
              <w:spacing w:after="0" w:line="240" w:lineRule="auto"/>
              <w:rPr>
                <w:rFonts w:ascii="Times New Roman" w:hAnsi="Times New Roman"/>
                <w:noProof/>
                <w:sz w:val="20"/>
                <w:lang w:eastAsia="fr-FR"/>
              </w:rPr>
            </w:pPr>
            <w:r w:rsidRPr="003055B0">
              <w:rPr>
                <w:rFonts w:ascii="Times New Roman" w:hAnsi="Times New Roman"/>
                <w:noProof/>
                <w:sz w:val="20"/>
                <w:lang w:eastAsia="fr-FR"/>
              </w:rPr>
              <w:t>Peroxyde</w:t>
            </w:r>
          </w:p>
        </w:tc>
        <w:tc>
          <w:tcPr>
            <w:tcW w:w="6387" w:type="dxa"/>
          </w:tcPr>
          <w:p w:rsidR="007D34EA" w:rsidRPr="003055B0" w:rsidRDefault="007D34EA" w:rsidP="003055B0">
            <w:pPr>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max. 0,1 % pour l’iode ;</w:t>
            </w:r>
          </w:p>
        </w:tc>
      </w:tr>
      <w:tr w:rsidR="007D34EA" w:rsidRPr="0083583E" w:rsidTr="003055B0">
        <w:tc>
          <w:tcPr>
            <w:tcW w:w="3960" w:type="dxa"/>
          </w:tcPr>
          <w:p w:rsidR="007D34EA" w:rsidRPr="003055B0" w:rsidRDefault="007D34EA" w:rsidP="003055B0">
            <w:pPr>
              <w:spacing w:after="0" w:line="240" w:lineRule="auto"/>
              <w:rPr>
                <w:rFonts w:ascii="Times New Roman" w:hAnsi="Times New Roman"/>
                <w:noProof/>
                <w:sz w:val="20"/>
                <w:lang w:eastAsia="fr-FR"/>
              </w:rPr>
            </w:pPr>
            <w:r w:rsidRPr="003055B0">
              <w:rPr>
                <w:rFonts w:ascii="Times New Roman" w:hAnsi="Times New Roman"/>
                <w:noProof/>
                <w:sz w:val="20"/>
                <w:lang w:eastAsia="fr-FR"/>
              </w:rPr>
              <w:t>Aldrine</w:t>
            </w:r>
          </w:p>
        </w:tc>
        <w:tc>
          <w:tcPr>
            <w:tcW w:w="6387" w:type="dxa"/>
          </w:tcPr>
          <w:p w:rsidR="007D34EA" w:rsidRPr="003055B0" w:rsidRDefault="007D34EA" w:rsidP="003055B0">
            <w:pPr>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non autorisé(e) ;</w:t>
            </w:r>
          </w:p>
        </w:tc>
      </w:tr>
      <w:tr w:rsidR="007D34EA" w:rsidRPr="0083583E" w:rsidTr="003055B0">
        <w:tc>
          <w:tcPr>
            <w:tcW w:w="3960" w:type="dxa"/>
          </w:tcPr>
          <w:p w:rsidR="007D34EA" w:rsidRPr="003055B0" w:rsidRDefault="007D34EA" w:rsidP="003055B0">
            <w:pPr>
              <w:spacing w:after="0" w:line="240" w:lineRule="auto"/>
              <w:rPr>
                <w:rFonts w:ascii="Times New Roman" w:hAnsi="Times New Roman"/>
                <w:noProof/>
                <w:sz w:val="20"/>
                <w:lang w:eastAsia="fr-FR"/>
              </w:rPr>
            </w:pPr>
            <w:r w:rsidRPr="003055B0">
              <w:rPr>
                <w:rFonts w:ascii="Times New Roman" w:hAnsi="Times New Roman"/>
                <w:noProof/>
                <w:sz w:val="20"/>
                <w:lang w:eastAsia="fr-FR"/>
              </w:rPr>
              <w:t>GZHG (somme des isomères)</w:t>
            </w:r>
          </w:p>
        </w:tc>
        <w:tc>
          <w:tcPr>
            <w:tcW w:w="6387" w:type="dxa"/>
          </w:tcPr>
          <w:p w:rsidR="007D34EA" w:rsidRPr="003055B0" w:rsidRDefault="007D34EA" w:rsidP="003055B0">
            <w:pPr>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max. 0,2 mg/kg ;</w:t>
            </w:r>
          </w:p>
        </w:tc>
      </w:tr>
      <w:tr w:rsidR="007D34EA" w:rsidRPr="0083583E" w:rsidTr="003055B0">
        <w:tc>
          <w:tcPr>
            <w:tcW w:w="3960" w:type="dxa"/>
          </w:tcPr>
          <w:p w:rsidR="007D34EA" w:rsidRPr="003055B0" w:rsidRDefault="007D34EA" w:rsidP="003055B0">
            <w:pPr>
              <w:spacing w:after="0" w:line="240" w:lineRule="auto"/>
              <w:rPr>
                <w:rFonts w:ascii="Times New Roman" w:hAnsi="Times New Roman"/>
                <w:noProof/>
                <w:sz w:val="20"/>
                <w:lang w:eastAsia="fr-FR"/>
              </w:rPr>
            </w:pPr>
            <w:r w:rsidRPr="003055B0">
              <w:rPr>
                <w:rFonts w:ascii="Times New Roman" w:hAnsi="Times New Roman"/>
                <w:noProof/>
                <w:sz w:val="20"/>
                <w:lang w:eastAsia="fr-FR"/>
              </w:rPr>
              <w:t>DDT (somme des métabolites)</w:t>
            </w:r>
          </w:p>
        </w:tc>
        <w:tc>
          <w:tcPr>
            <w:tcW w:w="6387" w:type="dxa"/>
          </w:tcPr>
          <w:p w:rsidR="007D34EA" w:rsidRPr="003055B0" w:rsidRDefault="007D34EA" w:rsidP="003055B0">
            <w:pPr>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max. 0,4 mg/kg ;</w:t>
            </w:r>
          </w:p>
        </w:tc>
      </w:tr>
      <w:tr w:rsidR="007D34EA" w:rsidRPr="0083583E" w:rsidTr="003055B0">
        <w:tc>
          <w:tcPr>
            <w:tcW w:w="3960" w:type="dxa"/>
          </w:tcPr>
          <w:p w:rsidR="007D34EA" w:rsidRPr="003055B0" w:rsidRDefault="007D34EA" w:rsidP="003055B0">
            <w:pPr>
              <w:spacing w:after="0" w:line="240" w:lineRule="auto"/>
              <w:rPr>
                <w:rFonts w:ascii="Times New Roman" w:hAnsi="Times New Roman"/>
                <w:noProof/>
                <w:sz w:val="20"/>
                <w:lang w:eastAsia="fr-FR"/>
              </w:rPr>
            </w:pPr>
            <w:r w:rsidRPr="003055B0">
              <w:rPr>
                <w:rFonts w:ascii="Times New Roman" w:hAnsi="Times New Roman"/>
                <w:noProof/>
                <w:sz w:val="20"/>
                <w:lang w:eastAsia="fr-FR"/>
              </w:rPr>
              <w:t>Heptachlore</w:t>
            </w:r>
          </w:p>
        </w:tc>
        <w:tc>
          <w:tcPr>
            <w:tcW w:w="6387" w:type="dxa"/>
          </w:tcPr>
          <w:p w:rsidR="007D34EA" w:rsidRPr="003055B0" w:rsidRDefault="007D34EA" w:rsidP="003055B0">
            <w:pPr>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non autorisé(e) ;</w:t>
            </w:r>
          </w:p>
        </w:tc>
      </w:tr>
      <w:tr w:rsidR="007D34EA" w:rsidRPr="0083583E" w:rsidTr="003055B0">
        <w:tc>
          <w:tcPr>
            <w:tcW w:w="3960" w:type="dxa"/>
          </w:tcPr>
          <w:p w:rsidR="007D34EA" w:rsidRPr="003055B0" w:rsidRDefault="007D34EA" w:rsidP="003055B0">
            <w:pPr>
              <w:spacing w:after="0" w:line="240" w:lineRule="auto"/>
              <w:rPr>
                <w:rFonts w:ascii="Times New Roman" w:hAnsi="Times New Roman"/>
                <w:noProof/>
                <w:sz w:val="20"/>
                <w:lang w:eastAsia="fr-FR"/>
              </w:rPr>
            </w:pPr>
            <w:r w:rsidRPr="003055B0">
              <w:rPr>
                <w:rFonts w:ascii="Times New Roman" w:hAnsi="Times New Roman"/>
                <w:noProof/>
                <w:sz w:val="20"/>
                <w:lang w:eastAsia="fr-FR"/>
              </w:rPr>
              <w:t>Plomb</w:t>
            </w:r>
          </w:p>
        </w:tc>
        <w:tc>
          <w:tcPr>
            <w:tcW w:w="6387" w:type="dxa"/>
          </w:tcPr>
          <w:p w:rsidR="007D34EA" w:rsidRPr="003055B0" w:rsidRDefault="007D34EA" w:rsidP="003055B0">
            <w:pPr>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max. 5,0 mg/kg ;</w:t>
            </w:r>
          </w:p>
        </w:tc>
      </w:tr>
      <w:tr w:rsidR="007D34EA" w:rsidRPr="0083583E" w:rsidTr="003055B0">
        <w:tc>
          <w:tcPr>
            <w:tcW w:w="3960" w:type="dxa"/>
          </w:tcPr>
          <w:p w:rsidR="007D34EA" w:rsidRPr="003055B0" w:rsidRDefault="007D34EA" w:rsidP="003055B0">
            <w:pPr>
              <w:spacing w:after="0" w:line="240" w:lineRule="auto"/>
              <w:rPr>
                <w:rFonts w:ascii="Times New Roman" w:hAnsi="Times New Roman"/>
                <w:noProof/>
                <w:sz w:val="20"/>
                <w:lang w:eastAsia="fr-FR"/>
              </w:rPr>
            </w:pPr>
            <w:r w:rsidRPr="003055B0">
              <w:rPr>
                <w:rFonts w:ascii="Times New Roman" w:hAnsi="Times New Roman"/>
                <w:noProof/>
                <w:sz w:val="20"/>
                <w:lang w:eastAsia="fr-FR"/>
              </w:rPr>
              <w:t>Cadmium</w:t>
            </w:r>
          </w:p>
        </w:tc>
        <w:tc>
          <w:tcPr>
            <w:tcW w:w="6387" w:type="dxa"/>
          </w:tcPr>
          <w:p w:rsidR="007D34EA" w:rsidRPr="003055B0" w:rsidRDefault="007D34EA" w:rsidP="003055B0">
            <w:pPr>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max. 1 mg/kg</w:t>
            </w:r>
          </w:p>
        </w:tc>
      </w:tr>
      <w:tr w:rsidR="007D34EA" w:rsidRPr="0083583E" w:rsidTr="003055B0">
        <w:tc>
          <w:tcPr>
            <w:tcW w:w="10347" w:type="dxa"/>
            <w:gridSpan w:val="2"/>
          </w:tcPr>
          <w:p w:rsidR="007D34EA" w:rsidRPr="003055B0" w:rsidRDefault="007D34EA" w:rsidP="003055B0">
            <w:pPr>
              <w:widowControl w:val="0"/>
              <w:tabs>
                <w:tab w:val="left" w:pos="3960"/>
              </w:tabs>
              <w:autoSpaceDE w:val="0"/>
              <w:autoSpaceDN w:val="0"/>
              <w:adjustRightInd w:val="0"/>
              <w:spacing w:after="0" w:line="240" w:lineRule="auto"/>
              <w:rPr>
                <w:rFonts w:ascii="Times New Roman" w:hAnsi="Times New Roman"/>
                <w:noProof/>
                <w:sz w:val="20"/>
                <w:lang w:eastAsia="fr-FR"/>
              </w:rPr>
            </w:pPr>
            <w:r w:rsidRPr="003055B0">
              <w:rPr>
                <w:rFonts w:ascii="Times New Roman" w:hAnsi="Times New Roman"/>
                <w:noProof/>
                <w:sz w:val="20"/>
                <w:lang w:eastAsia="fr-FR"/>
              </w:rPr>
              <w:t>(version approuvée par la décision n° 830 de la Commission de l’Union douanière du 18.10.2011)</w:t>
            </w:r>
          </w:p>
        </w:tc>
      </w:tr>
      <w:tr w:rsidR="007D34EA" w:rsidRPr="0083583E" w:rsidTr="003055B0">
        <w:tc>
          <w:tcPr>
            <w:tcW w:w="3960" w:type="dxa"/>
          </w:tcPr>
          <w:p w:rsidR="007D34EA" w:rsidRPr="003055B0" w:rsidRDefault="007D34EA" w:rsidP="003055B0">
            <w:pPr>
              <w:spacing w:after="0" w:line="240" w:lineRule="auto"/>
              <w:rPr>
                <w:rFonts w:ascii="Times New Roman" w:hAnsi="Times New Roman"/>
                <w:noProof/>
                <w:sz w:val="20"/>
                <w:lang w:eastAsia="fr-FR"/>
              </w:rPr>
            </w:pPr>
            <w:r w:rsidRPr="003055B0">
              <w:rPr>
                <w:rFonts w:ascii="Times New Roman" w:hAnsi="Times New Roman"/>
                <w:noProof/>
                <w:sz w:val="20"/>
                <w:lang w:eastAsia="fr-FR"/>
              </w:rPr>
              <w:t xml:space="preserve">Mercure </w:t>
            </w:r>
          </w:p>
        </w:tc>
        <w:tc>
          <w:tcPr>
            <w:tcW w:w="6387" w:type="dxa"/>
          </w:tcPr>
          <w:p w:rsidR="007D34EA" w:rsidRPr="003055B0" w:rsidRDefault="007D34EA" w:rsidP="003055B0">
            <w:pPr>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max. 0,5 mg/kg ;</w:t>
            </w:r>
          </w:p>
        </w:tc>
      </w:tr>
      <w:tr w:rsidR="007D34EA" w:rsidRPr="0083583E" w:rsidTr="003055B0">
        <w:tc>
          <w:tcPr>
            <w:tcW w:w="3960" w:type="dxa"/>
          </w:tcPr>
          <w:p w:rsidR="007D34EA" w:rsidRPr="003055B0" w:rsidRDefault="007D34EA" w:rsidP="003055B0">
            <w:pPr>
              <w:spacing w:after="0" w:line="240" w:lineRule="auto"/>
              <w:rPr>
                <w:rFonts w:ascii="Times New Roman" w:hAnsi="Times New Roman"/>
                <w:noProof/>
                <w:sz w:val="20"/>
                <w:lang w:eastAsia="fr-FR"/>
              </w:rPr>
            </w:pPr>
            <w:r w:rsidRPr="003055B0">
              <w:rPr>
                <w:rFonts w:ascii="Times New Roman" w:hAnsi="Times New Roman"/>
                <w:noProof/>
                <w:sz w:val="20"/>
                <w:lang w:eastAsia="fr-FR"/>
              </w:rPr>
              <w:t>Arsenic</w:t>
            </w:r>
          </w:p>
        </w:tc>
        <w:tc>
          <w:tcPr>
            <w:tcW w:w="6387" w:type="dxa"/>
          </w:tcPr>
          <w:p w:rsidR="007D34EA" w:rsidRPr="003055B0" w:rsidRDefault="007D34EA" w:rsidP="003055B0">
            <w:pPr>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max. 2,0 mg/kg ;</w:t>
            </w:r>
          </w:p>
        </w:tc>
      </w:tr>
      <w:tr w:rsidR="007D34EA" w:rsidRPr="003055B0" w:rsidTr="003055B0">
        <w:tc>
          <w:tcPr>
            <w:tcW w:w="3960" w:type="dxa"/>
          </w:tcPr>
          <w:p w:rsidR="007D34EA" w:rsidRPr="003055B0" w:rsidRDefault="007D34EA" w:rsidP="003055B0">
            <w:pPr>
              <w:spacing w:after="0" w:line="240" w:lineRule="auto"/>
              <w:rPr>
                <w:rFonts w:ascii="Times New Roman" w:hAnsi="Times New Roman"/>
                <w:noProof/>
                <w:sz w:val="20"/>
                <w:lang w:eastAsia="fr-FR"/>
              </w:rPr>
            </w:pPr>
            <w:r w:rsidRPr="003055B0">
              <w:rPr>
                <w:rFonts w:ascii="Times New Roman" w:hAnsi="Times New Roman"/>
                <w:noProof/>
                <w:sz w:val="20"/>
                <w:lang w:eastAsia="fr-FR"/>
              </w:rPr>
              <w:t>Teneur en radionucléides de césium -134, -137</w:t>
            </w:r>
          </w:p>
        </w:tc>
        <w:tc>
          <w:tcPr>
            <w:tcW w:w="6387" w:type="dxa"/>
          </w:tcPr>
          <w:p w:rsidR="007D34EA" w:rsidRPr="003055B0" w:rsidRDefault="007D34EA" w:rsidP="003055B0">
            <w:pPr>
              <w:spacing w:after="0" w:line="240" w:lineRule="auto"/>
              <w:rPr>
                <w:rFonts w:ascii="Times New Roman" w:hAnsi="Times New Roman" w:cs="Courier New"/>
                <w:noProof/>
                <w:sz w:val="20"/>
                <w:lang w:val="en-US" w:eastAsia="fr-FR"/>
              </w:rPr>
            </w:pPr>
            <w:r w:rsidRPr="003055B0">
              <w:rPr>
                <w:rFonts w:ascii="Times New Roman" w:hAnsi="Times New Roman"/>
                <w:noProof/>
                <w:sz w:val="20"/>
                <w:lang w:val="en-US" w:eastAsia="fr-FR"/>
              </w:rPr>
              <w:t>max. 1,62 x 10 (8) curi/kg (600 becquerels) ;</w:t>
            </w:r>
          </w:p>
        </w:tc>
      </w:tr>
      <w:tr w:rsidR="007D34EA" w:rsidRPr="0083583E" w:rsidTr="003055B0">
        <w:tc>
          <w:tcPr>
            <w:tcW w:w="3960" w:type="dxa"/>
          </w:tcPr>
          <w:p w:rsidR="007D34EA" w:rsidRPr="003055B0" w:rsidRDefault="007D34EA" w:rsidP="003055B0">
            <w:pPr>
              <w:spacing w:after="0" w:line="240" w:lineRule="auto"/>
              <w:rPr>
                <w:rFonts w:ascii="Times New Roman" w:hAnsi="Times New Roman"/>
                <w:noProof/>
                <w:sz w:val="20"/>
                <w:lang w:eastAsia="fr-FR"/>
              </w:rPr>
            </w:pPr>
            <w:r w:rsidRPr="003055B0">
              <w:rPr>
                <w:rFonts w:ascii="Times New Roman" w:hAnsi="Times New Roman"/>
                <w:noProof/>
                <w:sz w:val="20"/>
                <w:lang w:eastAsia="fr-FR"/>
              </w:rPr>
              <w:t xml:space="preserve">Cuivre </w:t>
            </w:r>
          </w:p>
        </w:tc>
        <w:tc>
          <w:tcPr>
            <w:tcW w:w="6387" w:type="dxa"/>
          </w:tcPr>
          <w:p w:rsidR="007D34EA" w:rsidRPr="003055B0" w:rsidRDefault="007D34EA" w:rsidP="003055B0">
            <w:pPr>
              <w:spacing w:after="0" w:line="240" w:lineRule="auto"/>
              <w:rPr>
                <w:rFonts w:ascii="Times New Roman" w:hAnsi="Times New Roman" w:cs="Courier New"/>
                <w:noProof/>
                <w:sz w:val="20"/>
                <w:lang w:eastAsia="fr-FR"/>
              </w:rPr>
            </w:pPr>
            <w:r w:rsidRPr="003055B0">
              <w:rPr>
                <w:rFonts w:ascii="Times New Roman" w:hAnsi="Times New Roman"/>
                <w:noProof/>
                <w:sz w:val="20"/>
                <w:lang w:eastAsia="fr-FR"/>
              </w:rPr>
              <w:t>max. 80 mg/kg ;</w:t>
            </w:r>
          </w:p>
        </w:tc>
      </w:tr>
      <w:tr w:rsidR="007D34EA" w:rsidRPr="0083583E" w:rsidTr="003055B0">
        <w:tc>
          <w:tcPr>
            <w:tcW w:w="10347" w:type="dxa"/>
            <w:gridSpan w:val="2"/>
          </w:tcPr>
          <w:p w:rsidR="007D34EA" w:rsidRPr="003055B0" w:rsidRDefault="007D34EA" w:rsidP="003055B0">
            <w:pPr>
              <w:widowControl w:val="0"/>
              <w:tabs>
                <w:tab w:val="left" w:pos="3960"/>
              </w:tabs>
              <w:autoSpaceDE w:val="0"/>
              <w:autoSpaceDN w:val="0"/>
              <w:adjustRightInd w:val="0"/>
              <w:spacing w:after="0" w:line="240" w:lineRule="auto"/>
              <w:rPr>
                <w:rFonts w:ascii="Times New Roman" w:hAnsi="Times New Roman"/>
                <w:noProof/>
                <w:sz w:val="20"/>
                <w:lang w:eastAsia="fr-FR"/>
              </w:rPr>
            </w:pPr>
            <w:r w:rsidRPr="003055B0">
              <w:rPr>
                <w:rFonts w:ascii="Times New Roman" w:hAnsi="Times New Roman"/>
                <w:noProof/>
                <w:sz w:val="20"/>
                <w:lang w:eastAsia="fr-FR"/>
              </w:rPr>
              <w:t>(paragraphe inséré par la décision n° 623 de la Commission de l’Union douanière du 07.04.2011)</w:t>
            </w:r>
          </w:p>
        </w:tc>
      </w:tr>
      <w:tr w:rsidR="007D34EA" w:rsidRPr="0083583E" w:rsidTr="003055B0">
        <w:tc>
          <w:tcPr>
            <w:tcW w:w="3960" w:type="dxa"/>
          </w:tcPr>
          <w:p w:rsidR="007D34EA" w:rsidRPr="003055B0" w:rsidRDefault="007D34EA" w:rsidP="003055B0">
            <w:pPr>
              <w:spacing w:after="0" w:line="240" w:lineRule="auto"/>
              <w:rPr>
                <w:rFonts w:ascii="Times New Roman" w:hAnsi="Times New Roman"/>
                <w:noProof/>
                <w:sz w:val="20"/>
                <w:lang w:eastAsia="fr-FR"/>
              </w:rPr>
            </w:pPr>
            <w:r w:rsidRPr="003055B0">
              <w:rPr>
                <w:rFonts w:ascii="Times New Roman" w:hAnsi="Times New Roman"/>
                <w:noProof/>
                <w:sz w:val="20"/>
                <w:lang w:eastAsia="fr-FR"/>
              </w:rPr>
              <w:t xml:space="preserve">Zinc </w:t>
            </w:r>
          </w:p>
        </w:tc>
        <w:tc>
          <w:tcPr>
            <w:tcW w:w="6387" w:type="dxa"/>
          </w:tcPr>
          <w:p w:rsidR="007D34EA" w:rsidRPr="003055B0" w:rsidRDefault="007D34EA" w:rsidP="003055B0">
            <w:pPr>
              <w:spacing w:after="0" w:line="240" w:lineRule="auto"/>
              <w:rPr>
                <w:rFonts w:ascii="Times New Roman" w:hAnsi="Times New Roman"/>
                <w:noProof/>
                <w:sz w:val="20"/>
                <w:lang w:eastAsia="fr-FR"/>
              </w:rPr>
            </w:pPr>
            <w:r w:rsidRPr="003055B0">
              <w:rPr>
                <w:rFonts w:ascii="Times New Roman" w:hAnsi="Times New Roman"/>
                <w:noProof/>
                <w:sz w:val="20"/>
                <w:lang w:eastAsia="fr-FR"/>
              </w:rPr>
              <w:t>max. 100 mg/kg</w:t>
            </w:r>
          </w:p>
        </w:tc>
      </w:tr>
      <w:tr w:rsidR="007D34EA" w:rsidRPr="0083583E" w:rsidTr="003055B0">
        <w:tc>
          <w:tcPr>
            <w:tcW w:w="10347" w:type="dxa"/>
            <w:gridSpan w:val="2"/>
          </w:tcPr>
          <w:p w:rsidR="007D34EA" w:rsidRPr="003055B0" w:rsidRDefault="007D34EA" w:rsidP="003055B0">
            <w:pPr>
              <w:widowControl w:val="0"/>
              <w:tabs>
                <w:tab w:val="left" w:pos="3960"/>
              </w:tabs>
              <w:autoSpaceDE w:val="0"/>
              <w:autoSpaceDN w:val="0"/>
              <w:adjustRightInd w:val="0"/>
              <w:spacing w:after="0" w:line="240" w:lineRule="auto"/>
              <w:rPr>
                <w:rFonts w:ascii="Times New Roman" w:hAnsi="Times New Roman"/>
                <w:noProof/>
                <w:sz w:val="20"/>
                <w:lang w:eastAsia="fr-FR"/>
              </w:rPr>
            </w:pPr>
            <w:r w:rsidRPr="003055B0">
              <w:rPr>
                <w:rFonts w:ascii="Times New Roman" w:hAnsi="Times New Roman"/>
                <w:noProof/>
                <w:sz w:val="20"/>
                <w:lang w:eastAsia="fr-FR"/>
              </w:rPr>
              <w:t>(paragraphe inséré par la décision n° 623 de la Commission de l’Union douanière du 07.04.2011)</w:t>
            </w:r>
          </w:p>
        </w:tc>
      </w:tr>
    </w:tbl>
    <w:p w:rsidR="007D34EA" w:rsidRPr="0083583E" w:rsidRDefault="007D34EA">
      <w:pPr>
        <w:rPr>
          <w:noProof/>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 produit doit être soumis au traitement thermique à la température d’au moins plus 80 degrés Celsius pendant 30 minutes.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8" w:name="Par3038"/>
      <w:bookmarkEnd w:id="38"/>
      <w:r w:rsidRPr="0083583E">
        <w:rPr>
          <w:rFonts w:ascii="Times New Roman" w:hAnsi="Times New Roman"/>
          <w:noProof/>
          <w:sz w:val="20"/>
          <w:lang w:eastAsia="fr-FR"/>
        </w:rPr>
        <w:t>Chapitre 35</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 ET SANITAIRES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fourrages et des additifs fourragers d’origine animale, notamment à base de volaille et de poisson</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fourrages et des additifs fourragers produits à partir des matières premières d’animaux, provenant des exploitations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Encéphalopathie spongiforme bovine et tremblante ovine - dans le pays conformément aux exigences du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africaine - au cours des 3 années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équine, peste bovine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classique - au cours des 12 derniers mois dans le pays ou sur le territoire administratif, conformément à la régionalisation, ou si des animaux y sont restés au moins pendant les trois derniers mois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Variole ovine et caprine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Grippe équine - au cours des 21 derniers jours dans le pays ou sur le territoire administratif, conformément à la régionalisation, ou si les animaux ont subi un traitement garantissant l’inactivation du virus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Grippe aviaire – au cours des 12 derniers mois sur le territoire de l’exploitation, ou si les animaux sont restés sur le territoire d’une telle exploitation au cours des 21 derniers jours ou ont subi un traitement garantissant l’inactivation du virus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307 du Collège de la Commission économique eurasienne du 25.12.2012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de Newcastle - au cours des 12 derniers mois dans le pays ou sur le territoire administratif, conformément à la régionalisation, avant l’abattage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Ornithose (psittacose) – au cours des 6 derniers mois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interdit d’utiliser des protéines de ruminants, à l’exception des substances recommandées par le Code OIE, pour la production des fourrages et des additifs fourragers.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(deuxième paragraphe selon la 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matières premières destinées à la préparation des aliments doivent être issues uniquement de l’abattage et subir l’expertise vétérinaire et sanitaire après l’abattage.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matières premières doivent être traitées à la température supérieure à plus 133 degrés Celsius (271,4 degrés Fahrenheit) pendant au moins 20 minutes à la pression de 3 bars (42,824 livres sur cm carré) ou selon un système de traitement thermique alternatif permettant de répondre aux exigences correspondantes en matière de sécurité concernant le standard microbiologique établi.</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fourrages et les additifs fourragers ne doivent pas contenir de salmonelles, de toxine botulinique, de microflore entéropathogène et anaérobie. La diffusion bactérienne générale ne doit pas être supérieure à 500000 cellules microbiennes dans 1 g.</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39" w:name="Par3068"/>
      <w:bookmarkEnd w:id="39"/>
      <w:r w:rsidRPr="0083583E">
        <w:rPr>
          <w:rFonts w:ascii="Times New Roman" w:hAnsi="Times New Roman"/>
          <w:noProof/>
          <w:sz w:val="20"/>
          <w:lang w:eastAsia="fr-FR"/>
        </w:rPr>
        <w:t>Chapitre 36</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 ET SANITAIRES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fourrages d’origine végétale pour animaux</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matières premières fourragères, des fourrages d’origine végétale et des fourrages contenant des composants d’origine végétale (céréales secondaires, fèves de soja, pois, manioc, fourrages à base d’arachide, de soja, de tournesol etc.) pour animaux (ci-après</w:t>
      </w:r>
      <w:r>
        <w:rPr>
          <w:rFonts w:ascii="Times New Roman" w:hAnsi="Times New Roman"/>
          <w:noProof/>
          <w:sz w:val="20"/>
          <w:lang w:eastAsia="fr-FR"/>
        </w:rPr>
        <w:t> :</w:t>
      </w:r>
      <w:r w:rsidRPr="0083583E">
        <w:rPr>
          <w:rFonts w:ascii="Times New Roman" w:hAnsi="Times New Roman"/>
          <w:noProof/>
          <w:sz w:val="20"/>
          <w:lang w:eastAsia="fr-FR"/>
        </w:rPr>
        <w:t xml:space="preserve"> fourrages) provenant et déchargés des territoires administratifs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bovine et ovine, peste porcine africaine et classique, peste équine africaine, fièvre aphteuse, variole ovine et caprine, grippe hautement pathogène - au cours des 12 mois sur le territoire administratif (état, province, département, terre, région, pays etc.).</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569 de la Commission de l’Union douanière du 02.03.2011)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fourrages sont importés ou transportés depuis des entreprises de transformation.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fourrages ne doivent pas être toxiques pour les animaux.</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fourrages ne doivent pas contenir de grains présentant des signes de fusariose dont la concentration est supérieure à 1  % du poids du fourrage.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(quatrième paragraphe selon la 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fourrages ne doivent pas contenir de métaux lourds, mycotoxines et pesticides au-delà des normes fixées.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inséré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F072BE">
      <w:pPr>
        <w:widowControl w:val="0"/>
        <w:autoSpaceDE w:val="0"/>
        <w:autoSpaceDN w:val="0"/>
        <w:adjustRightInd w:val="0"/>
        <w:spacing w:after="0" w:line="240" w:lineRule="auto"/>
        <w:jc w:val="center"/>
        <w:outlineLvl w:val="2"/>
        <w:rPr>
          <w:rFonts w:ascii="Times New Roman" w:hAnsi="Times New Roman" w:cs="Arial"/>
          <w:noProof/>
          <w:sz w:val="20"/>
          <w:lang w:eastAsia="fr-FR"/>
        </w:rPr>
      </w:pPr>
      <w:bookmarkStart w:id="40" w:name="Par3088"/>
      <w:bookmarkEnd w:id="40"/>
      <w:r w:rsidRPr="0083583E">
        <w:rPr>
          <w:rFonts w:ascii="Times New Roman" w:hAnsi="Times New Roman"/>
          <w:noProof/>
          <w:sz w:val="20"/>
          <w:lang w:eastAsia="fr-FR"/>
        </w:rPr>
        <w:t>Quantités limites autorisées pour certains types de grains de fourrage et d’autres moyens de fourrage</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1. Blé, orge, avoine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a) éléments toxiques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mercure 0,03</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cadmium 0,1</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plomb 0,2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arsenic 0,2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b) mycotoxines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zéaralénone 0,1</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toxine T-2 0,06</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déoxynivalénol 1,0</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aflatoxine В1 0,002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ochratoxine А 0,005</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Somme des aflatoxines</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1   2   2   2</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B , B , G , G     0,004</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c) pesticides (il convient de mentionner les données relatives à leur utilisation lors de la production, de la conservation et du transport – pour chaque livraison).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2. Maïs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a) éléments toxiques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mercure 0,02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val="en-US" w:eastAsia="fr-FR"/>
        </w:rPr>
      </w:pPr>
      <w:r w:rsidRPr="0083583E">
        <w:rPr>
          <w:rFonts w:ascii="Times New Roman" w:hAnsi="Times New Roman"/>
          <w:noProof/>
          <w:sz w:val="20"/>
          <w:lang w:eastAsia="fr-FR"/>
        </w:rPr>
        <w:t xml:space="preserve">    </w:t>
      </w:r>
      <w:r w:rsidRPr="0083583E">
        <w:rPr>
          <w:rFonts w:ascii="Times New Roman" w:hAnsi="Times New Roman"/>
          <w:noProof/>
          <w:sz w:val="20"/>
          <w:lang w:val="en-US" w:eastAsia="fr-FR"/>
        </w:rPr>
        <w:t>cadmium 0,1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val="en-US" w:eastAsia="fr-FR"/>
        </w:rPr>
      </w:pPr>
      <w:r w:rsidRPr="0083583E">
        <w:rPr>
          <w:rFonts w:ascii="Times New Roman" w:hAnsi="Times New Roman"/>
          <w:noProof/>
          <w:sz w:val="20"/>
          <w:lang w:val="en-US" w:eastAsia="fr-FR"/>
        </w:rPr>
        <w:t xml:space="preserve">    plomb 0,2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val="en-US" w:eastAsia="fr-FR"/>
        </w:rPr>
      </w:pPr>
      <w:r w:rsidRPr="0083583E">
        <w:rPr>
          <w:rFonts w:ascii="Times New Roman" w:hAnsi="Times New Roman"/>
          <w:noProof/>
          <w:sz w:val="20"/>
          <w:lang w:val="en-US" w:eastAsia="fr-FR"/>
        </w:rPr>
        <w:t>b) mycotoxines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val="en-US" w:eastAsia="fr-FR"/>
        </w:rPr>
      </w:pPr>
      <w:r w:rsidRPr="0083583E">
        <w:rPr>
          <w:rFonts w:ascii="Times New Roman" w:hAnsi="Times New Roman"/>
          <w:noProof/>
          <w:sz w:val="20"/>
          <w:lang w:val="en-US" w:eastAsia="fr-FR"/>
        </w:rPr>
        <w:t xml:space="preserve">    aflatoxine </w:t>
      </w:r>
      <w:r w:rsidRPr="0083583E">
        <w:rPr>
          <w:rFonts w:ascii="Times New Roman" w:hAnsi="Times New Roman"/>
          <w:noProof/>
          <w:sz w:val="20"/>
          <w:lang w:eastAsia="fr-FR"/>
        </w:rPr>
        <w:t>В</w:t>
      </w:r>
      <w:r w:rsidRPr="0083583E">
        <w:rPr>
          <w:rFonts w:ascii="Times New Roman" w:hAnsi="Times New Roman"/>
          <w:noProof/>
          <w:sz w:val="20"/>
          <w:lang w:val="en-US" w:eastAsia="fr-FR"/>
        </w:rPr>
        <w:t>1 0,002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val="en-US" w:eastAsia="fr-FR"/>
        </w:rPr>
        <w:t xml:space="preserve">    </w:t>
      </w:r>
      <w:r w:rsidRPr="0083583E">
        <w:rPr>
          <w:rFonts w:ascii="Times New Roman" w:hAnsi="Times New Roman"/>
          <w:noProof/>
          <w:sz w:val="20"/>
          <w:lang w:eastAsia="fr-FR"/>
        </w:rPr>
        <w:t>zéaralénone 0,1</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toxine T-2 0,06</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déoxynivalénol 1,0</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ochratoxine А 0,005</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Somme des aflatoxines</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1   2   2   2</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B , B , G , G     0,01</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c) pesticides (il convient de mentionner les données relatives à leur utilisation lors de la production, de la conservation et du transport pour chaque pays fournisseur de produits).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3. Pois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éléments toxiques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mercure 0,02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cadmium 0,1</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val="en-US" w:eastAsia="fr-FR"/>
        </w:rPr>
      </w:pPr>
      <w:r w:rsidRPr="0083583E">
        <w:rPr>
          <w:rFonts w:ascii="Times New Roman" w:hAnsi="Times New Roman"/>
          <w:noProof/>
          <w:sz w:val="20"/>
          <w:lang w:eastAsia="fr-FR"/>
        </w:rPr>
        <w:t xml:space="preserve">    </w:t>
      </w:r>
      <w:r w:rsidRPr="0083583E">
        <w:rPr>
          <w:rFonts w:ascii="Times New Roman" w:hAnsi="Times New Roman"/>
          <w:noProof/>
          <w:sz w:val="20"/>
          <w:lang w:val="en-US" w:eastAsia="fr-FR"/>
        </w:rPr>
        <w:t>plomb 0,5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val="en-US" w:eastAsia="fr-FR"/>
        </w:rPr>
      </w:pPr>
      <w:r w:rsidRPr="0083583E">
        <w:rPr>
          <w:rFonts w:ascii="Times New Roman" w:hAnsi="Times New Roman"/>
          <w:noProof/>
          <w:sz w:val="20"/>
          <w:lang w:val="en-US" w:eastAsia="fr-FR"/>
        </w:rPr>
        <w:t xml:space="preserve">    arsenic 0,3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val="en-US" w:eastAsia="fr-FR"/>
        </w:rPr>
      </w:pPr>
      <w:r w:rsidRPr="0083583E">
        <w:rPr>
          <w:rFonts w:ascii="Times New Roman" w:hAnsi="Times New Roman"/>
          <w:noProof/>
          <w:sz w:val="20"/>
          <w:lang w:val="en-US" w:eastAsia="fr-FR"/>
        </w:rPr>
        <w:t>mycotoxines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val="en-US" w:eastAsia="fr-FR"/>
        </w:rPr>
      </w:pPr>
      <w:r w:rsidRPr="0083583E">
        <w:rPr>
          <w:rFonts w:ascii="Times New Roman" w:hAnsi="Times New Roman"/>
          <w:noProof/>
          <w:sz w:val="20"/>
          <w:lang w:val="en-US" w:eastAsia="fr-FR"/>
        </w:rPr>
        <w:t xml:space="preserve">    aflatoxine </w:t>
      </w:r>
      <w:r w:rsidRPr="0083583E">
        <w:rPr>
          <w:rFonts w:ascii="Times New Roman" w:hAnsi="Times New Roman"/>
          <w:noProof/>
          <w:sz w:val="20"/>
          <w:lang w:eastAsia="fr-FR"/>
        </w:rPr>
        <w:t>В</w:t>
      </w:r>
      <w:r w:rsidRPr="0083583E">
        <w:rPr>
          <w:rFonts w:ascii="Times New Roman" w:hAnsi="Times New Roman"/>
          <w:noProof/>
          <w:sz w:val="20"/>
          <w:lang w:val="en-US" w:eastAsia="fr-FR"/>
        </w:rPr>
        <w:t>1 0,05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val="en-US" w:eastAsia="fr-FR"/>
        </w:rPr>
        <w:t xml:space="preserve">    </w:t>
      </w:r>
      <w:r w:rsidRPr="0083583E">
        <w:rPr>
          <w:rFonts w:ascii="Times New Roman" w:hAnsi="Times New Roman"/>
          <w:noProof/>
          <w:sz w:val="20"/>
          <w:lang w:eastAsia="fr-FR"/>
        </w:rPr>
        <w:t>hexachlorohexane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(isomères alpha, bêta, gamma) 0,5</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DDT et ses métabolites 0,05</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pesticides organiques de mercure - non autorisés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2,4-D acide, ses sels, éthers – non autorisés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contamination par des parasites - non autorisée.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4. Fèves de soja</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a) éléments toxiques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mercure 0,02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noProof/>
          <w:sz w:val="20"/>
          <w:lang w:eastAsia="fr-FR"/>
        </w:rPr>
      </w:pPr>
      <w:r w:rsidRPr="0083583E">
        <w:rPr>
          <w:rFonts w:ascii="Times New Roman" w:hAnsi="Times New Roman"/>
          <w:noProof/>
          <w:sz w:val="20"/>
          <w:lang w:eastAsia="fr-FR"/>
        </w:rPr>
        <w:t xml:space="preserve">    cadmium 0,1</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plomb 0,5</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arsenic 0,3</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b) mycotoxines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aflatoxine В1 0,002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toxine T-2 0,06</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zéaralénone 0,1</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ochratoxine А 0,005</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activité de l’uréase 0,1-0,2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teneur en nitrates,</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max. 450</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teneur en nitrites,</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max. 10</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c) pesticides (il convient de mentionner les données relatives à leur utilisation lors de la production, de la conservation et du transport pour chaque pays fournisseur de produits).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5. Tapioca</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a) contaminants naturels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isocyanures 20</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b) mycotoxines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toxine T-2 0,06</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zéaralénone 0,1</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c) pesticides (il convient de mentionner les données relatives à leur utilisation lors de la production, de la conservation et du transport pour chaque pays fournisseur de produits).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val="en-US" w:eastAsia="fr-FR"/>
        </w:rPr>
      </w:pPr>
      <w:r w:rsidRPr="0083583E">
        <w:rPr>
          <w:rFonts w:ascii="Times New Roman" w:hAnsi="Times New Roman"/>
          <w:noProof/>
          <w:sz w:val="20"/>
          <w:lang w:val="en-US" w:eastAsia="fr-FR"/>
        </w:rPr>
        <w:t>6. Schrot d’arachide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val="en-US" w:eastAsia="fr-FR"/>
        </w:rPr>
      </w:pPr>
      <w:r w:rsidRPr="0083583E">
        <w:rPr>
          <w:rFonts w:ascii="Times New Roman" w:hAnsi="Times New Roman"/>
          <w:noProof/>
          <w:sz w:val="20"/>
          <w:lang w:val="en-US" w:eastAsia="fr-FR"/>
        </w:rPr>
        <w:t>mycotoxines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val="en-US" w:eastAsia="fr-FR"/>
        </w:rPr>
      </w:pPr>
      <w:r w:rsidRPr="0083583E">
        <w:rPr>
          <w:rFonts w:ascii="Times New Roman" w:hAnsi="Times New Roman"/>
          <w:noProof/>
          <w:sz w:val="20"/>
          <w:lang w:val="en-US" w:eastAsia="fr-FR"/>
        </w:rPr>
        <w:t xml:space="preserve">    aflatoxine </w:t>
      </w:r>
      <w:r w:rsidRPr="0083583E">
        <w:rPr>
          <w:rFonts w:ascii="Times New Roman" w:hAnsi="Times New Roman"/>
          <w:noProof/>
          <w:sz w:val="20"/>
          <w:lang w:eastAsia="fr-FR"/>
        </w:rPr>
        <w:t>В</w:t>
      </w:r>
      <w:r w:rsidRPr="0083583E">
        <w:rPr>
          <w:rFonts w:ascii="Times New Roman" w:hAnsi="Times New Roman"/>
          <w:noProof/>
          <w:sz w:val="20"/>
          <w:lang w:val="en-US" w:eastAsia="fr-FR"/>
        </w:rPr>
        <w:t>1 0,002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val="en-US" w:eastAsia="fr-FR"/>
        </w:rPr>
        <w:t xml:space="preserve">    </w:t>
      </w:r>
      <w:r w:rsidRPr="0083583E">
        <w:rPr>
          <w:rFonts w:ascii="Times New Roman" w:hAnsi="Times New Roman"/>
          <w:noProof/>
          <w:sz w:val="20"/>
          <w:lang w:eastAsia="fr-FR"/>
        </w:rPr>
        <w:t>toxine T-2 0,06</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zéaralénone 0,1</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ochratoxine А 0,005</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teneur en nitrates,</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max. 200</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teneur en nitrites,</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max. 10</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pesticides (il convient de mentionner les données relatives à leur utilisation lors de la production, de la conservation et du transport pour chaque pays fournisseur de produits).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7. Schrot de tournesol (ordinaire, toasté)</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a) éléments toxiques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mercure 0,02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cadmium 0,4</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(version approuvée par la décision n° 342 de la Commission de l’Union douanière du 17.08.2010)</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plomb 0,5</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arsenic 0,5</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b) mycotoxines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zéaralénone 1,0</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toxine T-2 0,1</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déoxynivalénol 1,0</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aflatoxine В1 0,05</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ochratoxine А 0,05</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c) pesticides (il convient de mentionner les données relatives à leur utilisation lors de la production, de la conservation et du transport pour chaque pays fournisseur de produits).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L’activité bêta totale ne doit pas dépasser 600 becquerel par 1 kg dans tous les produits énumérés.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fourrages produits sans utilisation d’éléments OGM peuvent contenir 0,5 % et moins de lignes non enregistrées et (ou) 0,9 % et moins de lignes enregistrées pour chaque élément OGM.</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fourrages produits avec des éléments OGM peuvent contenir 0,5 % et moins de lignes non enregistrées pour chaque élément OGM.</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8. Schrot de soja</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a) éléments toxiques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mercure 0,02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cadmium 0,4</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plomb 0,5</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arsenic 0,5</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b) mycotoxines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zéaralénone 1,0</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toxine T-2 0,1</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déoxynivalénol 1,0</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aflatoxine В1 0,05</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ochratoxine А 0,05</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c) pesticides (il convient de mentionner les données relatives à leur utilisation lors de la production, de la conservation et du transport pour chaque pays fournisseur de produits).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L’activité bêta totale ne doit pas dépasser 600 becquerel par 1 kg dans tous les produits énumérés.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(point 8 inséré par la décision n° 342 de la Commission de l’Union douanière du 17.08.2010)</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1" w:name="Par3205"/>
      <w:bookmarkEnd w:id="41"/>
      <w:r w:rsidRPr="0083583E">
        <w:rPr>
          <w:rFonts w:ascii="Times New Roman" w:hAnsi="Times New Roman"/>
          <w:noProof/>
          <w:sz w:val="20"/>
          <w:lang w:eastAsia="fr-FR"/>
        </w:rPr>
        <w:t>Chapitre 37</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 ET SANITAIRES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additifs alimentaires pour chiens et chats, ainsi que des aliments finis et traités thermiquement pour chiens et chats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additifs alimentaires pour chiens et chats et des aliments pour chiens et chats, finis, traités thermiquement et obtenus par des entreprises.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aliments finis pour chiens et chats, ayant subi un traitement thermique, doivent être obtenus à partir des matières provenant des territoires administratifs indemnes des maladies contagieuses d’animaux et d’oiseaux</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africaine, peste équine africaine, peste bovine et ovine, peste classique porcine, fièvre aphteuse, variole ovine et caprine – au cours des 12 derniers mois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569 de la Commission de l’Union douanière du 02.03.2011)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et infections anaérobies – au cours des 20 derniers jours sur le territoire de l’exploitation.</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623 de la Commission de l’Union douanière du 07.04.2011)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matières premières destinées à la préparation des aliments doivent être issues uniquement de l’abattage et subir l’expertise vétérinaire et sanitaire après l’abattage.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la production des aliments, il est interdit d’utiliser les matières contenant des matériaux à risque spécifique, le contenu d’estomacs et d’intestins obtenu lors de l’abattage des bovins et des ovins, préparées dans les pays qui ne sont pas indemnes de l’encéphalopathie spongiforme bovine.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aliments ne doivent pas contenir de salmonelles, de toxine botulique (pour des aliments conservés), de microflore entéropathogène et d’anaérobie. La diffusion bactérienne générale ne doit pas dépasser 500000 cellules microbiennes dans 1 g, ce qui doit être confirmé par des analyses en laboratoire.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18 du Collège de la Commission économique eurasienne du 11.02.2014)</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matières premières doivent être traitées à la température supérieure à plus 133 degrés Celsius (271,4 degrés Fahrenheit) pendant au moins 20 minutes à la pression de 3 bars (42,824 livres sur cm carré) ou selon un système de traitement thermique alternatif permettant de répondre aux exigences correspondantes en matière de sécurité concernant le standard microbiologique établi.</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additifs alimentaires pour chiens et chats ainsi que les aliments pour chiens et chats, finis et traités thermiquement (température minimale de plus 70 degrés Celsius, pendant au moins 20 minutes) sont importés dans un emballage de consommation, sans autorisation d’importation délivrée par l’autorité compétente de la Partie sur le territoire de laquelle ils sont importés.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2" w:name="Par3230"/>
      <w:bookmarkEnd w:id="42"/>
      <w:r w:rsidRPr="0083583E">
        <w:rPr>
          <w:rFonts w:ascii="Times New Roman" w:hAnsi="Times New Roman"/>
          <w:noProof/>
          <w:sz w:val="20"/>
          <w:lang w:eastAsia="fr-FR"/>
        </w:rPr>
        <w:t>Chapitre 38</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 ET SANITAIRES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trophées de chasse</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1. Il est autorisé d’importer sur le territoire douanier de l’Union douanière et (ou) de transporter entre les Parties des trophées de chasse obtenus à partir des animaux, ayant subi un traitement de taxidermie complet, garantissant leur conservation à la température ambiante.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 et la décision n° 307 dudit Collège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2. Tous les types d’animaux et de poissons empaillés ou les fragments de ceux-ci, ayant subi un traitement de taxidermie complet, importés sur le territoire douanier de l’Union douanière et (ou) transportés entre les Parties ne doivent pas être accompagnés de certificats vétérinaires et d’autorisations d’importation, à condition de la présentation des documents confirmant leur acquisition dans le réseau de vente de détail.</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342 de la Commission de l’Union douanière du 17.08.2010,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3. Conformément aux dispositions visées par la Convention SIRES, les trophées de chasse de tous les types importés sur le territoire douanier de l’Union douanière et (ou) transportés entre les Parties, n’ayant pas subi de traitement de taxidermie, doivent répondre aux conditions suivantes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a) Ils doivent être obtenus à partir des animaux (oiseaux) provenant des territoires officiellement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toutes les espèces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Rage – au cours des 6 derniers mois sur le territoire de la chasse ou d’un autre lieu d’habitat</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la chasse, de l’exploitation ou d’un autre lieu d’habitat</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623 de la Commission de l’Union douanière du 07.04.2011)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grands ruminants artiodactyles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Dermatose nodulaire contagieuse (pearl disease) des bovins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307 du Collège de la Commission économique eurasienne du 25.12.2012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des petits ruminants - au cours des 36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307 du Collège de la Commission économique eurasienne du 25.12.2012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Stomatite vésiculaire, pleuropneumonie contagieuse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petites ruminants artiodactyles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307 du Collège de la Commission économique eurasienne du 25.12.2012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bovine – au cours des 24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307 du Collège de la Commission économique eurasienne du 25.12.2012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des petits ruminants, Maedi-Visna, adénomatose, arthrite encéphalite, maladie Border disease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Tuberculose, brucellose – au cours des 6 derniers mois sur le territoire de la chasse, de l’exploitation ou d’un autre lieu d’habitat</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830 de la Commission de l’Union douanière  du 18.10.2011,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307 du Collège de la Commission économique eurasienne du 25.12.2012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830 de la Commission de l’Union douanière du 18.10.2011</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Variole ovine et caprine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petits non-ruminants (pour animaux vulnérables)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africaine - au cours des 36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307 du Collège de la Commission économique eurasienne du 25.12.2012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classique – au cours des 12 derniers mois sur le territoire de la chasse, de l’exploitation ou d’un autre lieu d’habitat</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307 du Collège de la Commission économique eurasienne du 25.12.2012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non-artiodactyles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Morve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Anémie infectieuse, dourine, métrite infectieuse équine - au cours des 12 mois sur le territoire de la chasse, de l’exploitation ou d’un autre lieu d’habitat</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 gibier volatile (oiseaux)</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Grippe aviaire dont la déclaration est obligatoire selon le Code OIE - au cours des 12 derniers mois dans le pays ou sur le territoire administratif ou au cours des 3 mois en cas de réalisation du « stamping out » et de résultats négatifs du contrôle épizootique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 paragraphe est éliminé. - décision n° 307 du Collège de la Commission économique eurasienne du 25.12.2012</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Variole – au cours des 6 derniers mois sur le territoire de la chasse, de l’exploitation ou d’un autre lieu d’habitat</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de Newcastle - au cours des 12 derniers mois dans le pays ou sur le territoire administratif, conformément à la régionalisation, ou au cours des 3 mois en cas de réalisation du « stamping out » et de résultats négatifs du contrôle épizootique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b) Ils doivent être soumis à la désinfection, s’ils sont obtenus à partir des animaux provenant des territoires qui ne sont pas indemnes des maladies animales énumérées ci-dessus.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4. Il est autorisé d’importer sur le territoire douanier de l’Union douanière et de transporter entre les Parties, sans autorisation de l’autorité compétente de la Partie concernée, des trophées de chasse provenant des régions indemnes des maladies mentionnées au point 3, ainsi que des régions qui ne sont pas indemnes de ces maladies, si les trophées sont traités (désinfectés) conformément aux règles en vigueur dans leur pays d’origine, ce qui est confirmé par un certificat vétérinaire.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(point 4 inséré par la décision n° 342 de la Commission de l’Union douanière du 17.08.2010)</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3" w:name="Par3289"/>
      <w:bookmarkEnd w:id="43"/>
      <w:r w:rsidRPr="0083583E">
        <w:rPr>
          <w:rFonts w:ascii="Times New Roman" w:hAnsi="Times New Roman"/>
          <w:noProof/>
          <w:sz w:val="20"/>
          <w:lang w:eastAsia="fr-FR"/>
        </w:rPr>
        <w:t>Chapitre 39</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le transport entre les Parties de certaines marchandises soumises au contrôle, produites (fabriquées) sur le territoire douanier de l’Union douanière</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marchandises suivantes soumises au contrôle, produites (fabriquées) sur le territoire douanier de l’Union douanière, doivent être accompagnées, lors de leur transport entre les Parties, des documents &lt;*&gt; confirmant leur conformité avec les exigences en matière de qualité et de sécurité, prévues par la législation des Parties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cs="Arial"/>
          <w:noProof/>
          <w:sz w:val="20"/>
          <w:lang w:eastAsia="fr-FR"/>
        </w:rPr>
        <w:t>--------------------------------</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&lt;*&gt; Les documents susmentionnés (leurs copies) doivent comporter le sceau (note) du fonctionnaire de l’autorité compétente en matière vétérinaire, selon la forme du certificat vétérinaire, approuvée par la Commission de l’Union douanière, confirmant la sécurité des matières premières à partir desquelles les marchandises sont fabriquées et le statut épizootique indemne du lieu d’origine des marchandises.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68"/>
        <w:gridCol w:w="8079"/>
      </w:tblGrid>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cs="Arial"/>
                <w:noProof/>
                <w:sz w:val="20"/>
                <w:lang w:eastAsia="fr-FR"/>
              </w:rPr>
            </w:pPr>
            <w:r w:rsidRPr="003055B0">
              <w:rPr>
                <w:rFonts w:ascii="Times New Roman" w:hAnsi="Times New Roman"/>
                <w:noProof/>
                <w:sz w:val="20"/>
                <w:lang w:eastAsia="fr-FR"/>
              </w:rPr>
              <w:t>Code TN VED</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cs="Arial"/>
                <w:noProof/>
                <w:sz w:val="20"/>
                <w:lang w:eastAsia="fr-FR"/>
              </w:rPr>
            </w:pPr>
            <w:r w:rsidRPr="003055B0">
              <w:rPr>
                <w:rFonts w:ascii="Times New Roman" w:hAnsi="Times New Roman"/>
                <w:noProof/>
                <w:sz w:val="20"/>
                <w:lang w:eastAsia="fr-FR"/>
              </w:rPr>
              <w:t>Dénomination des marchandises</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cs="Arial"/>
                <w:noProof/>
                <w:sz w:val="20"/>
                <w:lang w:eastAsia="fr-FR"/>
              </w:rPr>
            </w:pPr>
            <w:r w:rsidRPr="003055B0">
              <w:rPr>
                <w:rFonts w:ascii="Times New Roman" w:hAnsi="Times New Roman"/>
                <w:noProof/>
                <w:sz w:val="20"/>
                <w:lang w:eastAsia="fr-FR"/>
              </w:rPr>
              <w:t>0305</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cs="Arial"/>
                <w:noProof/>
                <w:sz w:val="20"/>
                <w:lang w:eastAsia="fr-FR"/>
              </w:rPr>
            </w:pPr>
            <w:r w:rsidRPr="003055B0">
              <w:rPr>
                <w:rFonts w:ascii="Times New Roman" w:hAnsi="Times New Roman"/>
                <w:noProof/>
                <w:sz w:val="20"/>
                <w:lang w:eastAsia="fr-FR"/>
              </w:rPr>
              <w:t>Poisson séché, salé ou mariné ; poisson fumé à chaud ou à froid ; farine de poisson fine et grossière et granules comestibles</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0306</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Crustacés, avec ou sans cuirasse, séchés, salés ou marinés ; crustacés avec cuirasse, cuits à la vapeur ou dans de l’eau bouillante, réfrigérés ou non réfrigérés, congelés, séchés, salés ou marinés ; farine fine et grossière et granules des crustacés comestibles</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0307</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 xml:space="preserve">Mollusques, avec ou sans coquille, séchés, salés ou marinés ; autres invertébrés aquatiques différents des crustacés et mollusques, séchés, salés ou marinés ; farine fine et grossière et granules d’autres invertébrés aquatiques comestibles </w:t>
            </w:r>
            <w:hyperlink w:anchor="Par3399" w:tooltip="Ссылка на текущий документ" w:history="1">
              <w:r w:rsidRPr="003055B0">
                <w:rPr>
                  <w:rFonts w:ascii="Times New Roman" w:hAnsi="Times New Roman"/>
                  <w:noProof/>
                  <w:sz w:val="20"/>
                  <w:lang w:eastAsia="fr-FR"/>
                </w:rPr>
                <w:t xml:space="preserve"> &lt;*&gt;</w:t>
              </w:r>
            </w:hyperlink>
            <w:r w:rsidRPr="003055B0">
              <w:rPr>
                <w:rFonts w:ascii="Times New Roman" w:hAnsi="Times New Roman"/>
                <w:noProof/>
                <w:sz w:val="20"/>
                <w:lang w:eastAsia="fr-FR"/>
              </w:rPr>
              <w:t xml:space="preserve">      </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0402</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Lait et crème, condensés ou avec addition de sucre ou d’autres éléments sucrants</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0403</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Babeurre, lait caillé et crème, yaourt, kéfir et autre lait fermenté ou acidifié, concentrés ou non concentrés, avec ou sans addition de sucre ou d’autres éléments sucrants, avec ou sans additifs aromatisés, avec ou sans addition de fruits, noix ou cacao</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0404</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Sérum laitier condensé ou non condensé, avec ou sans addition de sucre ou d’autres éléments sucrants ; produits à base des composants laitiers naturels, avec ou sans addition de sucre ou d’autres éléments sucrants, qui ne sont pas cités ou mentionnés à un autre endroit</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0405</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Beurre et autres graisses et huiles à base de lait ; pâtes laitières</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0406</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Fromage et fromage blanc</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1516 20</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Graisses et huiles végétales et leurs fractions</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de 1517</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Position éliminée. - décision n° 254 du Collège de la Commission économique eurasienne du 04.12.2012</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1603 00</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Extraits et jus de poisson ou de crustacés, de mollusques ou d’autres invertébrés aquatiques</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1605</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Crustacés, mollusques et autres invertébrés aquatiques, finis ou conservés</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de 1902 20</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Pâtes farcies, soumises ou non soumises au traitement thermique ou préparées d’une autre façon, contenant du poisson, des crustacés, des mollusques et d’autres invertébrés aquatiques ou des produits du groupe 04, ou toute combinaison de ces produits</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de 1904 20</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Graminées (à l’exception des graines de maïs) sous forme de germes ou de flocons ou de graines traitées autrement (à l’exception de la farine fine et grossière), préalablement cuites ou préparées autrement, contenant du poisson, des crustacés, des mollusques ou autres invertébrés aquatiques ou des produits du groupe 04, ou toute autre combinaison de ces produits</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 xml:space="preserve">du groupe 20 </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Produits issus de la transformation de légumes, de fruits, de noix ou d’autres parties de plantes et de leur mélange, contenant du poisson ou des crustacés, des mollusques ou d’autres invertébrés aquatiques, ou des produits du groupe 04, ou toute autre combinaison de ces produits</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de 2104</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Produits alimentaires finis composés homogénéisés, contenant du poisson, des crustacés, des mollusques ou d’autres invertébrés ou des produits du groupe 04, ou toute autre combinaison de ces produits</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 xml:space="preserve">de 2105 00 </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Glaces, à l’exception de celles qui sont fabriquées à base de fruits de baies, de glace fruitière et alimentaire</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de 2106</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Fromages et autres produits alimentaires finis contenant du poisson, des crustacés, des mollusques ou d’autres invertébrés ou des produits du groupe 04, ou toute autre combinaison de ces produits</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de 3501</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Caséine, caséinates et autres dérivés de caséine</w:t>
            </w:r>
          </w:p>
        </w:tc>
      </w:tr>
      <w:tr w:rsidR="007D34EA" w:rsidRPr="0083583E" w:rsidTr="003055B0">
        <w:tc>
          <w:tcPr>
            <w:tcW w:w="2268"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de 3502</w:t>
            </w:r>
          </w:p>
        </w:tc>
        <w:tc>
          <w:tcPr>
            <w:tcW w:w="8079" w:type="dxa"/>
          </w:tcPr>
          <w:p w:rsidR="007D34EA" w:rsidRPr="003055B0" w:rsidRDefault="007D34EA" w:rsidP="003055B0">
            <w:pPr>
              <w:widowControl w:val="0"/>
              <w:autoSpaceDE w:val="0"/>
              <w:autoSpaceDN w:val="0"/>
              <w:adjustRightInd w:val="0"/>
              <w:spacing w:after="0" w:line="240" w:lineRule="auto"/>
              <w:jc w:val="both"/>
              <w:rPr>
                <w:rFonts w:ascii="Times New Roman" w:hAnsi="Times New Roman"/>
                <w:noProof/>
                <w:sz w:val="20"/>
                <w:lang w:eastAsia="fr-FR"/>
              </w:rPr>
            </w:pPr>
            <w:r w:rsidRPr="003055B0">
              <w:rPr>
                <w:rFonts w:ascii="Times New Roman" w:hAnsi="Times New Roman"/>
                <w:noProof/>
                <w:sz w:val="20"/>
                <w:lang w:eastAsia="fr-FR"/>
              </w:rPr>
              <w:t>Albumines (protéines) (y compris les concentrés de deux ou de plusieurs protéines de sérum, contenant plus de 80 % en poids de protéines de sérum recalculés en substance sèches), albuminates et autres dérivés d’albumine</w:t>
            </w:r>
          </w:p>
        </w:tc>
      </w:tr>
    </w:tbl>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cs="Arial"/>
          <w:noProof/>
          <w:sz w:val="20"/>
          <w:lang w:eastAsia="fr-FR"/>
        </w:rPr>
        <w:t>--------------------------------</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bookmarkStart w:id="44" w:name="Par3399"/>
      <w:bookmarkEnd w:id="44"/>
      <w:r w:rsidRPr="0083583E">
        <w:rPr>
          <w:rFonts w:ascii="Times New Roman" w:hAnsi="Times New Roman"/>
          <w:noProof/>
          <w:sz w:val="20"/>
          <w:lang w:eastAsia="fr-FR"/>
        </w:rPr>
        <w:t>&lt;*&gt; Ce groupe comprend également l’artémie Salina.</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5" w:name="Par3401"/>
      <w:bookmarkEnd w:id="45"/>
      <w:r w:rsidRPr="0083583E">
        <w:rPr>
          <w:rFonts w:ascii="Times New Roman" w:hAnsi="Times New Roman"/>
          <w:noProof/>
          <w:sz w:val="20"/>
          <w:lang w:eastAsia="fr-FR"/>
        </w:rPr>
        <w:t>Chapitre 40</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pour l’importation sur le territoire douanier de l’Union douanière et (ou) le transport entre les Parties des animaux de zoo et de cirque</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(chapitre inséré par la décision n° 192 du Collège de la Commission économique eurasienne du 10.09.2013)</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Au sens du présent chapitre, les animaux de zoo et de cirque sont des animaux appartenant à toute espèce biologique, nés et grandis en captivité ou détenus en captivité pendant au moins 90 jours, soumis obligatoirement à l’identification moyennant l’implantation d’une puce, le placement d’un anneau ou d’un tatouage.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animaux de zoo et de cirque cliniquement en bonne santé, provenant des territoires ou des bassins d’eau indemnes des maladies contagieuses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toutes les espèces (à l’exception des oiseaux)</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aphteuse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bovine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africaine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catarrhale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Leptospirose – au cours des 3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charbonneuse – au cours des 20 derniers jours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Rage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hémorragique virale - au cours des 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grands artiodactyles (bovins, aurochs, buffles, zèbres, yacks, antilopes, bisons, cerfs, etc.)</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Encéphalopathie spongiforme bovine et tremblante ovine – dans le pays ou sur le territoire administratif, conformément à la régionalisation avec un risque insignifiant ou contrôlable de la maladie indiquée, selon les recommandations du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Dermatose nodulaire contagieuse (pearl disease) des bovins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de la vallée du Rift - au cours des 48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des petits ruminants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hémorragique épizootique des cervidés, maladie Acabané, stomatite vésiculaire, pleuropneumonie contagieuse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d’Aujeszky (pseudorage)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Brucellose, tuberculose, paratuberculose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Leucose enzootique, diarrhée virale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petits artiodactyles (chèvres, brebis, argalis, biches, tours, mouflons, capricornes, chevreuils, etc.)</w:t>
      </w:r>
      <w:r>
        <w:rPr>
          <w:rFonts w:ascii="Times New Roman" w:hAnsi="Times New Roman"/>
          <w:noProof/>
          <w:sz w:val="20"/>
          <w:lang w:eastAsia="fr-FR"/>
        </w:rPr>
        <w:t> :</w:t>
      </w:r>
      <w:r w:rsidRPr="0083583E">
        <w:rPr>
          <w:rFonts w:ascii="Times New Roman" w:hAnsi="Times New Roman"/>
          <w:noProof/>
          <w:sz w:val="20"/>
          <w:lang w:eastAsia="fr-FR"/>
        </w:rPr>
        <w:t xml:space="preserve">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de la vallée du Rift - au cours des 48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des petits ruminants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hémorragique épizootique des cervidés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bovine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Q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Maedi-Visna, adénomatose, arthrite encéphalite, maladie Border disease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Paratuberculose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Tremblante du mouton - au cours des 7 dernières années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noProof/>
          <w:sz w:val="20"/>
          <w:lang w:eastAsia="fr-FR"/>
        </w:rPr>
      </w:pPr>
      <w:r w:rsidRPr="0083583E">
        <w:rPr>
          <w:rFonts w:ascii="Times New Roman" w:hAnsi="Times New Roman"/>
          <w:noProof/>
          <w:sz w:val="20"/>
          <w:lang w:eastAsia="fr-FR"/>
        </w:rPr>
        <w:t>- Tuberculose, brucellose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Variole ovine et caprine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solipèdes (ânes, mulets, poneys, zèbres, hémiones, chevaux Prjevalski, kiangs, etc. à l’exception des chevaux</w:t>
      </w:r>
      <w:hyperlink w:anchor="Par3509" w:tooltip="Ссылка на текущий документ" w:history="1">
        <w:r w:rsidRPr="0083583E">
          <w:rPr>
            <w:rFonts w:ascii="Times New Roman" w:hAnsi="Times New Roman"/>
            <w:noProof/>
            <w:sz w:val="20"/>
            <w:lang w:eastAsia="fr-FR"/>
          </w:rPr>
          <w:t>&lt;*&gt;</w:t>
        </w:r>
      </w:hyperlink>
      <w:r w:rsidRPr="0083583E">
        <w:rPr>
          <w:rFonts w:ascii="Times New Roman" w:hAnsi="Times New Roman"/>
          <w:noProof/>
          <w:sz w:val="20"/>
          <w:lang w:eastAsia="fr-FR"/>
        </w:rPr>
        <w:t>)</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équine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Encéphalomyélites infectieuses de tous les types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Artérite virale - dans le pays conformément aux recommandations du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Morve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Dourine (Trypanosoma equiperdum), su-auru (Trypanosoma evansi), piroplasmose (Babesia caballi), nuttaliose (Nuttallia equi) - au cours des 12 derniers mois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Métrite contagieuse équine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différentes races de porcs domestiques et sauvages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africaine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porcine classique - au cours des 12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vésiculaire porcine, stomatite vésiculaire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d’Aujeszky (pseudorage) – au cours des 12 derniers mois sur le territoire administratif, conformément à la régionalisation, ou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Encéphalomyélite entérovirale porcine (maladie de Teschen, encéphalomyélite texo-virale porcine )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Syndrome reproducteur et respiratoire porcin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différentes espèces carnivores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des carnivores, entérite virale, toxoplasmose, hépatite infectieuse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Tularémie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toutes les espèces d’oiseaux</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du canard, hépatite virale du caneton (pour l’oiseau aquatique) - au cours des 6 derniers mois sur le territoire de l’exploitation</w:t>
      </w:r>
      <w:r>
        <w:rPr>
          <w:rFonts w:ascii="Times New Roman" w:hAnsi="Times New Roman"/>
          <w:noProof/>
          <w:sz w:val="20"/>
          <w:lang w:eastAsia="fr-FR"/>
        </w:rPr>
        <w:t> ;</w:t>
      </w:r>
      <w:r w:rsidRPr="0083583E">
        <w:rPr>
          <w:rFonts w:ascii="Times New Roman" w:hAnsi="Times New Roman"/>
          <w:noProof/>
          <w:sz w:val="20"/>
          <w:lang w:eastAsia="fr-FR"/>
        </w:rPr>
        <w:t xml:space="preserve">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Grippe aviaire dont la déclaration est obligatoire selon le Code OIE – au cours des 6 derniers mois sur le territoire administratif, conformément à la régionalisation</w:t>
      </w:r>
      <w:r>
        <w:rPr>
          <w:rFonts w:ascii="Times New Roman" w:hAnsi="Times New Roman"/>
          <w:noProof/>
          <w:sz w:val="20"/>
          <w:lang w:eastAsia="fr-FR"/>
        </w:rPr>
        <w:t> ;</w:t>
      </w:r>
      <w:r w:rsidRPr="0083583E">
        <w:rPr>
          <w:rFonts w:ascii="Times New Roman" w:hAnsi="Times New Roman"/>
          <w:noProof/>
          <w:sz w:val="20"/>
          <w:lang w:eastAsia="fr-FR"/>
        </w:rPr>
        <w:t xml:space="preserve">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Ornithose (psittacose), bronchite infectieuse, variole, infection réovirale et rhinotrachéite de dindes - au cours des 6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de Newcastle - au cours des 12 derniers mois sur le territoire administratif, conformément à la régionalisation, ou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différentes espèces de rongeurs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de la vallée du Rift - au cours des 48 derniers mois dans le pays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Tularémie – au cours des 24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Maladie d’Aujeszky (pseudorage) – conformément aux recommandations du Code OIE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Myxomatose, maladie hémorragique virale des lapins, chorioméningite lymphatique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Toxoplasmose – au cours des 12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différentes espèces de palmipèdes, de cétacés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des phoques (infection morbillivirale), exanthème vésiculaire - au cours des 36 derniers mois dans leur habitat (lieu d’origine)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éléphants, les girafes, les okapis, les hippopotames, les rhinocéros, les tapirs, les édentés et les tubulidentatas, les insectivores, les marsupiaux, les chauves-souris, les ratons, les mustélidés, les civettes et d’autres espèces exotiques animales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de la vallée du Rift - au cours des 48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Encéphalomyélite vénézuélienne - au cours des 24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Dermatose nodulaire contagieuse (pearl disease) des bovins – au cours des 36 derniers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Peste africaine équine, maladie d’Aujeszky (pseudorage), encéphalomyélite transmissible des visons, chorioméningite lymphocytaire – au cours des 12 mois dans le pays ou sur le territoire administratif, conformément à la régionalisation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Tularémie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Pour les différentes espèces de primates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de la vallée du Rift, tularémie - au cours des 6 derniers mois sur le territoire de l’exploitation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Fièvre hémorragique (de Lassa, Ebola, de Marburg, Denge, fièvre jaune, fièvre du Nil occidental), variole des singes - en l’absence de cas enregistrés sur le territoire de l’exploitation ou sur le territoire administratif d’où proviennent des primates.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animaux de zoo et de cirque sélectionnés pour l’importation sur le territoire douanier de l’Union douanière ou le transport entre les Parties doivent rester en quarantaine sur le territoire du pays d’exportation pendant au moins 21 jours (sauf si un autre délai est fixé par l’autorité compétente de la Partie concernée pour la quarantaine préventive). Tous les animaux sont examinés cliniquement pendant la quarantaine avec la thermométrie obligatoire. Pendant cette période, ils subissent également des examens diagnostiques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Grands artiodactyles – brucellose, tuberculose, paratuberculose, leucose, fièvre catarrhale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Petits artiodactyles - brucellose, paratuberculose, fièvre catarrhale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Solipèdes – morve, dourine, su-auru, piroplasmose, nuttaliose, rhinopneumonie, métrite infectieuse, anémie infectieuse, artérite virale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Visons - maladie Aléoute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Oiseaux - ornithose (psittacose), grippe aviaire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Primates - tuberculose.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animaux sont vaccinés 1 fois par an</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Tous les carnivores - contre la rage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Chiens, renards, renards bleus, loups, chacals - contre la peste des carnivores, l’entérite virale, l’hépatite, la leptospirose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Visons, putois - contre l’entérite virale, la peste des carnivores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Myopotames - contre la pasteurellose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Chats - contre la rage, la panleucopénie et la rhinotrachéite virale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Rongeurs (lapins) - contre la myxomatose et la maladie hémorragique virale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Oiseaux (groupe de poulet) - contre la maladie de Newcastle.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convient de vacciner les animaux 20 jours au plus tard avant le départ, s’ils n’ont pas été vaccinés au cours des 12 derniers mois.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animaux de cirque transportés régulièrement pour participer aux tournées se déplacent sans être placés en quarantaine préventive à condition qu’ils soient suivis par le service vétérinaire (officiel) d’État et qu’ils subissent, 1 fois par an, des examens diagnostiques</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Grands artiodactyles – brucellose, tuberculose, paratuberculose, leucose enzootique, fièvre catarrhale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Petits artiodactyles - brucellose, parabrucellose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Solipèdes (morve, dourine, anémie infectieuse)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Camélidés - fièvre catarrhale, morve, su-auru, tuberculose, brucellose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Visons - pour la maladie Aléoute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Chats - dermatophytoses (au moyen d’un dispositif de diagnostic luminescent)</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Oiseaux - ornithose (psittacose), grippe aviaire, salmonellose</w:t>
      </w:r>
      <w:r>
        <w:rPr>
          <w:rFonts w:ascii="Times New Roman" w:hAnsi="Times New Roman"/>
          <w:noProof/>
          <w:sz w:val="20"/>
          <w:lang w:eastAsia="fr-FR"/>
        </w:rPr>
        <w:t> ;</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Primates - tuberculose.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À la demande de l’autorité compétente de la Partie concernée, lors du retour des animaux de cirque des tournées à travers des pays tiers (en fonction de la situation épizootique dans ces pays), ceux-ci peuvent être placés en quarantaine pendant au moins 30 jours et subir tous les examens diagnostiques requis.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L’autorité compétente de la Partie sur le territoire de laquelle les animaux sont importés (transportés) peut exiger la réalisation des examens et l’administration des vaccins contre d’autres maladies.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cs="Arial"/>
          <w:noProof/>
          <w:sz w:val="20"/>
          <w:lang w:eastAsia="fr-FR"/>
        </w:rPr>
        <w:t>--------------------------------</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bookmarkStart w:id="46" w:name="Par3509"/>
      <w:bookmarkEnd w:id="46"/>
      <w:r w:rsidRPr="0083583E">
        <w:rPr>
          <w:rFonts w:ascii="Times New Roman" w:hAnsi="Times New Roman"/>
          <w:noProof/>
          <w:sz w:val="20"/>
          <w:lang w:eastAsia="fr-FR"/>
        </w:rPr>
        <w:t xml:space="preserve">&lt;*&gt; Lors de l’importation des chevaux, il convient de consulter le </w:t>
      </w:r>
      <w:hyperlink w:anchor="Par2076" w:tooltip="Ссылка на текущий документ" w:history="1">
        <w:r w:rsidRPr="0083583E">
          <w:rPr>
            <w:rFonts w:ascii="Times New Roman" w:hAnsi="Times New Roman"/>
            <w:noProof/>
            <w:sz w:val="20"/>
            <w:lang w:eastAsia="fr-FR"/>
          </w:rPr>
          <w:t>chapitre 11</w:t>
        </w:r>
      </w:hyperlink>
      <w:r w:rsidRPr="0083583E">
        <w:rPr>
          <w:rFonts w:ascii="Times New Roman" w:hAnsi="Times New Roman"/>
          <w:noProof/>
          <w:sz w:val="20"/>
          <w:lang w:eastAsia="fr-FR"/>
        </w:rPr>
        <w:t xml:space="preserve"> des présentes Exigences.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7" w:name="Par3511"/>
      <w:bookmarkEnd w:id="47"/>
      <w:r w:rsidRPr="0083583E">
        <w:rPr>
          <w:rFonts w:ascii="Times New Roman" w:hAnsi="Times New Roman"/>
          <w:noProof/>
          <w:sz w:val="20"/>
          <w:lang w:eastAsia="fr-FR"/>
        </w:rPr>
        <w:t>Chapitre 41</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EXIGENCES VÉTÉRINAIRES</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 xml:space="preserve">pour l’importation sur le territoire douanier de l’Union douanière et (ou) le transport entre les Parties des vers de terre vivants (sous-ordre des Lumbricina) et de leurs cocons </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(chapitre inséré par la décision n° 244 du Collège de la Commission économique eurasienne du 29.10.2013)</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est autorisé d’importer sur le territoire douanier de l’Union douanière et (ou) de transporter entre les Parties des vers de terre vivants (sous-ordre des Lumbricina) et de leurs cocons (ci-après</w:t>
      </w:r>
      <w:r>
        <w:rPr>
          <w:rFonts w:ascii="Times New Roman" w:hAnsi="Times New Roman"/>
          <w:noProof/>
          <w:sz w:val="20"/>
          <w:lang w:eastAsia="fr-FR"/>
        </w:rPr>
        <w:t> :</w:t>
      </w:r>
      <w:r w:rsidRPr="0083583E">
        <w:rPr>
          <w:rFonts w:ascii="Times New Roman" w:hAnsi="Times New Roman"/>
          <w:noProof/>
          <w:sz w:val="20"/>
          <w:lang w:eastAsia="fr-FR"/>
        </w:rPr>
        <w:t xml:space="preserve"> vers de terre et leurs cocons) destinés à l’élevage de production (vermiculture), à l’amélioration du sol, à la préparation des composts et biogumus, à l’utilisation comme aliments vivants, appâts de pêche, élevés dans un substrat naturel ou artificiel de vermiculture.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vers de terre et leurs cocons importés sur le territoire douanier de l’Union douanière et (ou) transportés entre les Parties, destinés à l’élevage de production (vermiculture), doivent subir un examen visuel dans les 72 heures avant le départ qui ne révèle pas la mort massive de vers (plus de 10 % de vers dans un emballage).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vers de terre et leurs cocons importés sur le territoire douanier de l’Union douanière et (ou) transportés entre les Parties, élevés en vermiculture, et le substrat naturel pour leur élevage (terre, tourbe, compost, biogumus, fumier, végétaux) doivent provenir des exploitations (entreprises)  indemnes des cas de fièvre charbonneuse, fièvre aphteuse, peste porcine africaine et encéphalopathie spongiforme.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Il convient d’utiliser pour le transport des vers de terre et de leurs cocons des emballages (conteneurs etc.) assurant leur viabilité pendant le transport. Il est interdit d’importer des emballages (conteneurs etc.), lorsque l’examen visuel effectué au moment du passage de la frontière révèle la mort massive des vers de terre. Ces emballages (conteneurs etc.) et leur contenu doivent être retournés dans le pays d’exportation ou éliminés (recyclés) conformément à la législation des Parties.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Les emballages (conteneurs etc.) doivent être destinés à usage unique et être remplis d’un substrat assurant la viabilité des vers de terre et de leurs cocons. Chaque unité d’emballage (conteneur, etc.) doit être numérotée et étiquetée. L’étiquette doit contenir le nom de l’espèce des vers, les renseignements relatifs à la quantité ou au poids de vers de terre, à leur origine, aux conditions de transport, et peut contenir d’autres informations caractéristiques pour le chargement et son origine.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outlineLvl w:val="1"/>
        <w:rPr>
          <w:rFonts w:ascii="Times New Roman" w:hAnsi="Times New Roman" w:cs="Arial"/>
          <w:noProof/>
          <w:sz w:val="20"/>
          <w:lang w:eastAsia="fr-FR"/>
        </w:rPr>
      </w:pPr>
      <w:bookmarkStart w:id="48" w:name="Par3527"/>
      <w:bookmarkEnd w:id="48"/>
      <w:r w:rsidRPr="0083583E">
        <w:rPr>
          <w:rFonts w:ascii="Times New Roman" w:hAnsi="Times New Roman"/>
          <w:noProof/>
          <w:sz w:val="20"/>
          <w:lang w:eastAsia="fr-FR"/>
        </w:rPr>
        <w:t>Dispositions finales et transitoires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1. Avant la mise en application d’un système électronique commun pour la délivrance des autorisations d’importation des marchandises soumises au contrôle sur le territoire douanier de l’Union douanière, les règles qui s’appliquent à la délivrance des autorisations sont celles qui sont en vigueur au 1er juillet 2010 et qui sont prévues par la législation des Parties.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la décision n° 254 du Collège de la Commission économique eurasienne du 04.12.2012)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2. Les formulaires unifiés des certificats vétérinaires entrent en vigueur à partir du 1er juillet 2010. Il est autorisé d’utiliser, jusqu’au 1er janvier 2011, lors du transport des marchandises soumises au contrôle entre les Parties, les formulaires des documents vétérinaires de transport valables dans le commerce mutuel entre les Parties au 1er juillet 2010.</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3. Jusqu’au 1er janvier 2011, les autorités compétentes des Parties établissent un Registre des médicaments enregistrés pour l’utilisation en matière vétérinaire, des systèmes de diagnostic, des moyens de traitement parasitaire des animaux et additifs alimentaires pour animaux, sur la base des registres nationaux correspondants. Avant la date indiquée, l’importation des médicaments pour animaux, des systèmes de diagnostic, des moyens de traitement contre les parasites des animaux et additifs alimentaires pour animaux depuis les pays tiers et depuis le territoire d’autres Parties est autorisée, s’ils sont enregistrés par l’autorité compétente d’une des Parties. Les autorités compétentes des Parties procèdent à l’échange des informations concernant les médicaments enregistrés pour l’utilisation en matière vétérinaire, les systèmes de diagnostic, les moyens de traitement contre les parasites des animaux et additifs alimentaires pour animaux de chacune des Parties.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4. Dans le cadre du commerce mutuel des Parties avec des pays tiers avant le 1er janvier 2013, il est autorisé d’importer des marchandises soumises au contrôle accompagnées des certificats vétérinaires, paraphés par l’une des Parties avec des pays d’exportation, au 1er juillet 2010, modifiés ultérieurement conformément à l’accord entre la Partie et le pays d’exportation, sur la base de la position correspondante des autres Parties. À défaut des certificats vétérinaires paraphés, les marchandises soumises au contrôle doivent être accompagnées des certificats vétérinaires garantissant le respect des Exigences vétérinaires (vétérinaires et sanitaires) communes de l’Union douanière.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(version approuvée par les décisions de la Commission de l’Union douanière du 18.11.2010 n° 455, du 15.07.2011 n° 726)</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5. Les autorités compétentes des Parties sont tenues de négocier dans le but de l’approbation des certificats vétérinaires différents des formulaires des certificats vétérinaires unifiés pour les marchandises soumises au contrôle importées sur le territoire douanier de l’Union douanière depuis les pays tiers, approuvés par la décision n° 607 de la Commission du 7 avril 2011 (ci-après</w:t>
      </w:r>
      <w:r>
        <w:rPr>
          <w:rFonts w:ascii="Times New Roman" w:hAnsi="Times New Roman"/>
          <w:noProof/>
          <w:sz w:val="20"/>
          <w:lang w:eastAsia="fr-FR"/>
        </w:rPr>
        <w:t> :</w:t>
      </w:r>
      <w:r w:rsidRPr="0083583E">
        <w:rPr>
          <w:rFonts w:ascii="Times New Roman" w:hAnsi="Times New Roman"/>
          <w:noProof/>
          <w:sz w:val="20"/>
          <w:lang w:eastAsia="fr-FR"/>
        </w:rPr>
        <w:t xml:space="preserve"> formulaires unifiés des certificats vétérinaires) et de certaines dispositions des présentes Exigences, avec les organismes compétents des pays d’exportation qui ont introduit une demande justifiée concernant ces négociations.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L’autorité compétente d’une des Parties, intéressée par la validation d’un tel certificat vétérinaire (ci-après</w:t>
      </w:r>
      <w:r>
        <w:rPr>
          <w:rFonts w:ascii="Times New Roman" w:hAnsi="Times New Roman"/>
          <w:noProof/>
          <w:sz w:val="20"/>
          <w:lang w:eastAsia="fr-FR"/>
        </w:rPr>
        <w:t> :</w:t>
      </w:r>
      <w:r w:rsidRPr="0083583E">
        <w:rPr>
          <w:rFonts w:ascii="Times New Roman" w:hAnsi="Times New Roman"/>
          <w:noProof/>
          <w:sz w:val="20"/>
          <w:lang w:eastAsia="fr-FR"/>
        </w:rPr>
        <w:t xml:space="preserve"> initiateur des négociations), est tenue d’en aviser, dans les 14 jours au plus tard après la prise de décision concernant le début des négociations, les autorités compétentes des autres Parties qui peuvent, si elles sont intéressées, se joindre aux négociations, quelle que soit la phase.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inséré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À l’issue des négociations concernant le projet d’un tel certificat vétérinaire, l’initiateur des négociations adresse le projet du certificat vétérinaire aux autorités compétentes des autres Parties. À défaut de contestations, les autorités compétentes des Parties s’échangent des courriers correspondants. Si l’autorité compétente d’une des Parties considère que les dispositions du projet d’un tel certificat vétérinaire correspondent aux normes, aux recommandations et aux instructions du Code OIE et de la Commission du Codex Alimentarius, et (ou) si le risque pour la santé et la vie de l’homme et des animaux est justifié sur le plan scientifique, l’initiateur des négociations organise des consultations avec les autorités compétentes des autres Parties.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(paragraphe inséré par la décision n° 830 de la Commission de l’Union douanière du 18.10.2011)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Si l’autorité compétente du pays d’exportation introduit une demande avant le 1er janvier 2013 à l’autorité compétente d’une des Parties concernant l’établissement d’un certificat vétérinaire différent des formulaires unifiés des certificats vétérinaires et de certaines dispositions des présentes Exigences, et que celle-ci a déjà paraphé avec l’une des Parties avant le 1er juillet 2010 un certificat vétérinaire pour l’importation des marchandises soumises au contrôle sur le territoire de la Partie correspondante, le délai de validité du certificat vétérinaire paraphé et de toute autre modification ultérieure d’un tel certificat, approuvée par d’autres Parties, est prolongé jusqu’à l’approbation du certificat vétérinaire différent des formulaires unifiés des certificats vétérinaires et de certaines dispositions des présentes Exigences.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(point 5 inséré par la décision n° 726 de la Commission de l’Union douanière du 15.07.2011)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6. Il convient de prolonger la durée de validité des certificats vétérinaires paraphés par une des Parties et le pays d’exportation du 1er juillet 2010 au 1er décembre 2010, différents des Exigences vétérinaires communes, pour l’importation et la consommation des marchandises soumises au contrôle, exclusivement sur le territoire de la Partie concernée, jusqu’au 1er janvier 2013.</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Si l’autorité compétente du pays d’exportation ayant déjà paraphé avec l’une des Parties du 1er juillet 2010 au 1er décembre 2010 un certificat vétérinaire pour l’importation des marchandises de consommation soumises au contrôle exclusivement sur le territoire de la Partie concernée introduit une demande avant le 1er janvier 2013 à l’autorité compétente d’une des Parties concernant l’établissement d’un certificat vétérinaire différent des formulaires unifiés des certificats vétérinaires et de certaines dispositions des présentes Exigences, le délai de validité du certificat vétérinaire paraphé est prolongé jusqu’à l’approbation par la Partie et le pays d’exportation, sur la base de la position correspondante des autres Parties, du certificat vétérinaire différent des formulaires unifiés des certificats vétérinaires et de certaines dispositions des présentes Exigences.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(point 6 inséré par la décision n° 726 de la Commission de l’Union douanière du 15.07.2011)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7. Les certificats vétérinaires doivent être approuvés, sur la base consensuelle, par les autorités compétentes des Parties et l’autorité compétente du pays d’exportation et ils doivent garantir le niveau de protection vétérinaire fixé par les Parties.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(point 7 inséré par la décision n° 726 de la Commission de l’Union douanière du 15.07.2011)</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right"/>
        <w:outlineLvl w:val="1"/>
        <w:rPr>
          <w:rFonts w:ascii="Times New Roman" w:hAnsi="Times New Roman" w:cs="Arial"/>
          <w:noProof/>
          <w:sz w:val="20"/>
          <w:lang w:eastAsia="fr-FR"/>
        </w:rPr>
      </w:pPr>
      <w:r w:rsidRPr="0083583E">
        <w:rPr>
          <w:rFonts w:ascii="Times New Roman" w:hAnsi="Times New Roman"/>
          <w:noProof/>
          <w:sz w:val="20"/>
          <w:lang w:eastAsia="fr-FR"/>
        </w:rPr>
        <w:t>Annexe n° 1</w:t>
      </w:r>
    </w:p>
    <w:p w:rsidR="007D34EA" w:rsidRPr="0083583E" w:rsidRDefault="007D34EA"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83583E">
        <w:rPr>
          <w:rFonts w:ascii="Times New Roman" w:hAnsi="Times New Roman"/>
          <w:noProof/>
          <w:sz w:val="20"/>
          <w:lang w:eastAsia="fr-FR"/>
        </w:rPr>
        <w:t>aux Exigences vétérinaires</w:t>
      </w:r>
    </w:p>
    <w:p w:rsidR="007D34EA" w:rsidRPr="0083583E" w:rsidRDefault="007D34EA"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83583E">
        <w:rPr>
          <w:rFonts w:ascii="Times New Roman" w:hAnsi="Times New Roman"/>
          <w:noProof/>
          <w:sz w:val="20"/>
          <w:lang w:eastAsia="fr-FR"/>
        </w:rPr>
        <w:t>(vétérinaires et sanitaires) communes</w:t>
      </w:r>
    </w:p>
    <w:p w:rsidR="007D34EA" w:rsidRPr="0083583E" w:rsidRDefault="007D34EA"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83583E">
        <w:rPr>
          <w:rFonts w:ascii="Times New Roman" w:hAnsi="Times New Roman"/>
          <w:noProof/>
          <w:sz w:val="20"/>
          <w:lang w:eastAsia="fr-FR"/>
        </w:rPr>
        <w:t>pour les marchandises soumises au</w:t>
      </w:r>
    </w:p>
    <w:p w:rsidR="007D34EA" w:rsidRPr="0083583E" w:rsidRDefault="007D34EA"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83583E">
        <w:rPr>
          <w:rFonts w:ascii="Times New Roman" w:hAnsi="Times New Roman"/>
          <w:noProof/>
          <w:sz w:val="20"/>
          <w:lang w:eastAsia="fr-FR"/>
        </w:rPr>
        <w:t>contrôle (à la surveillance) vétérinaire</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LISTE</w:t>
      </w: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DES MESURES RÉGLEMENTAIRES APPLICABLES PAR LES AUTORITÉS COMPÉTENTES DES ÉTATS MEMBRES DE L’UNION DOUANIÈRE ET DE L’ESPACE ÉCONOMIQUE COMMUN AUX MARCHANDISES IMPORTÉES SUR LE TERRITOIRE DOUANIER DE L’UNION DOUANIÈRE</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(introduite par la décision n° 294 du Collège de la Commission économique eurasienne</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du 10.12.2013)</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sectPr w:rsidR="007D34EA" w:rsidRPr="0083583E">
          <w:headerReference w:type="default" r:id="rId6"/>
          <w:footerReference w:type="default" r:id="rId7"/>
          <w:pgSz w:w="11906" w:h="16838"/>
          <w:pgMar w:top="1440" w:right="566" w:bottom="1440" w:left="1133" w:header="0" w:footer="0" w:gutter="0"/>
          <w:cols w:space="720"/>
          <w:noEndnote/>
        </w:sect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tbl>
      <w:tblPr>
        <w:tblW w:w="0" w:type="auto"/>
        <w:tblInd w:w="102" w:type="dxa"/>
        <w:tblLayout w:type="fixed"/>
        <w:tblCellMar>
          <w:top w:w="102" w:type="dxa"/>
          <w:left w:w="62" w:type="dxa"/>
          <w:bottom w:w="102" w:type="dxa"/>
          <w:right w:w="62" w:type="dxa"/>
        </w:tblCellMar>
        <w:tblLook w:val="0000"/>
      </w:tblPr>
      <w:tblGrid>
        <w:gridCol w:w="570"/>
        <w:gridCol w:w="2730"/>
        <w:gridCol w:w="2764"/>
        <w:gridCol w:w="2760"/>
        <w:gridCol w:w="2760"/>
        <w:gridCol w:w="2760"/>
      </w:tblGrid>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N°</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Groupe, code TN VED TC</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Dénomination des marchandises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Documents qui accompagnent les marchandises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Autorisation d’importation (oui/non)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Registre des entreprises des pays tiers (oui/non)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w:t>
            </w:r>
          </w:p>
        </w:tc>
      </w:tr>
      <w:tr w:rsidR="007D34EA" w:rsidRPr="0083583E" w:rsidTr="003055B0">
        <w:tc>
          <w:tcPr>
            <w:tcW w:w="1434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I. Mesures applicables jusqu’à l’adhésion de la République du Kazakhstan à l’Organisation mondiale du commerce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0101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Chevaux, ânes, mulets et bardots vivants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ou passeport vétérinaire (pour des chevaux de course)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0102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Bovins vivants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0103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Porcs vivants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0104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Brebis et chèvres vivantes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0105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Volaille vivante, notamment poules domestiques (Gallus domesticus), canards, oies, dindes et pintades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0106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Animaux vivants, à l’exception de ceux qui sont indiqués dans les positions 1-5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ou passeport vétérinaire (pour des chiens et des chats pour usage personnel dont la quantité n’est pas supérieure à 2 têtes)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 à l’exception de l’importation des chiens et des chats pour usage personnel dont la quantité n’est pas supérieure à 2 têtes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0201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Viande bovine, fraîche ou réfrigérée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0202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Viande bovine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0203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Viande de porc fraîche, réfrigérée ou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0204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Viande de mouton ou de chèvre fraîche, réfrigérée ou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0205 00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Viande de cheval, d’âne, de mulet ou de bardot, fraîche, réfrigérée ou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0206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Abats alimentaires de bovins, de porcs, de brebis, de chèvres, de chevaux, d’ânes, de mulets ou de bardots, frais, réfrigérés ou congelés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0207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Viande et abats alimentaires de la volaille, spécifiée à la position 5 de la présente liste, frais, réfrigérés ou congelés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0208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Autre viande et abats alimentaires carnés, frais, réfrigérés ou congelés, à l’exception de ceux qui sont indiqués aux positions 7-13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0209</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Graisse porcine séparée de la viande maigre, et graisse de volaille, non fondues ou non extraites d’une autre manière, fraîches, réfrigérées, congelées, salées&lt;1&gt;, marinés&lt;1&gt;, séchées&lt;1&gt; ou fumées&lt;1&gt;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0210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Viande et abats alimentaires carnés, salés&lt;1&gt;, marinés&lt;1&gt;, séchés&lt;1&gt; ou fumés&lt;1&gt; ; farine alimentaire de viande ou d’abats de viande&lt;1&gt;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0301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Poisson frais comestible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0301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Poisson vivant destiné à l’élevage décoratif, y compris en aquarium, non comestible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0302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Poisson frais ou réfrigéré, à l’exception du filet de poisson et d’autre viande de poisson, mentionnés à la position 21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0303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Poisson congelé, à l’exception du filet de poisson et d’autre viande de poisson, mentionnés à la position 21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0304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Filet de poisson et autre viande de poisson (y compris la viande hachée), frais, réfrigérés ou congelés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0305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Poisson séché, salé ou mariné ; poisson fumé qui n’a pas été soumis ou qui a été soumis au traitement thermique avant ou pendant le processus de fumage&lt;1&gt; ; farine de poisson fine et grossière et granules de poisson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0306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Crustacés avec ou sans cuirasse, vivants, frais, réfrigérés, congelés, séchés&lt;1&gt;, salés&lt;1&gt; ou marinés&lt;1&gt; ; crustacés fumés avec ou sans cuirasse, qui n’ont pas été soumis ou qui ont été soumis au traitement thermique avant ou pendant le processus de fumage&lt;1&gt; ; crustacés avec cuirasse cuits à la vapeur&lt;1&gt; ou dans de l’eau bouillante&lt;1&gt;, réfrigérés ou non réfrigérés, congelés, séchés&lt;1&gt;, salés&lt;1&gt; ou marinés&lt;1&gt; ; farine fine et grossière et granules de crustacés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0307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Mollusques avec ou sans coquille, vivants, frais, réfrigérés, congelés, séchés&lt;1&gt;, salés&lt;1&gt; ou marinés&lt;1&gt; ; mollusques fumés avec ou sans coquille qui n’ont pas été soumis ou qui ont été soumis au traitement thermique avant ou pendant le processus de fumage&lt;1&gt; ; farine fine et grossière et granules de mollusques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0308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Invertébrés aquatiques différents des crustacés et mollusques, vivants, frais, réfrigérés, congelés, séchés&lt;1&gt;, salés&lt;1&gt; ou marinés&lt;1&gt; ; invertébrés aquatiques fumés différents des crustacés et mollusques qui n’ont pas été soumis ou qui ont été soumis au traitement thermique avant ou pendant le processus de fumage&lt;1&gt; ; farine fine et grossière et granules d’invertébrés aquatiques différents des crustacés et mollusques,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0401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Lait et crème, non condensés et sans addition de sucre ou d’autres éléments sucrants (à l’exception du lait frais et de la crème fraîche)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0401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Lait frais et crème fraîche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0402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Lait et crème, condensés ou avec addition de sucre ou d’autres éléments sucrants&lt;1&gt;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0403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Babeurre, lait caillé et crème, yaourt, kéfir et autres laits fermentés ou acidifiés, concentrés ou non concentrés, avec ou sans addition de sucre ou d’autres éléments sucrants, avec ou sans additifs aromatisés, avec ou sans addition de fruits, noix ou cacao&lt;1&gt;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0404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Sérum laitier condensé ou non condensé, avec ou sans addition de sucre ou d’autres éléments sucrants&lt;1&gt; ; produits à base des composants laitiers naturels, avec ou sans addition de sucre ou d’autres éléments sucrants&lt;1&gt;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0405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Beurre et autres graisses et huiles à base de lait&lt;1&gt; ; pâtes laitières&lt;1&gt;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0406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Fromages et fromage blanc&lt;1&gt;, à l’exception des fromages fondus contenant du saucisson, de la viande, des abats de viande, du sang, du poisson, des crustacés, des mollusques ou d’autres invertébrés, ou les produits du groupe 04 TN VED TC, ou toute autre combinaison de ces produits&lt;2&gt;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0406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Fromages fondus contenant du saucisson, de la viande, des abats de viande, du sang, du poisson, des crustacés, des mollusques ou d’autres invertébrés, ou les produits du groupe 04 TN VED TC, ou toute autre combinaison de ces produits&lt;2&gt;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pour les marchandises importées sur le territoire de la République de Bélarus et de la République du Kazakhstan ; certificat vétérinaire - pour les marchandises importées sur le territoire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est nécessaire, si l’entreprise qui produit du saucisson, de la viande, des abats de viande, du sang, du poisson, des crustacés, des mollusques ou d’autres invertébrés ou les produits du groupe 04 TN VED TC, ou toute autre combinaison de ces produits, ne figure pas au registre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0407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Œufs d’oiseaux dans la coquille, frais, conservés&lt;1&gt; ou cuits&lt;1&gt;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est nécessaire uniquement pour des ovoproduits non transformés</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0408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Œufs d’oiseaux sans coquille et jaunes d’œufs, frais, séchés, cuits à la vapeur&lt;1&gt; ou dans de l’eau bouillante&lt;1&gt;, formés&lt;1&gt;, congelés ou conservés autrement&lt;1&gt;, avec ou sans addition de sucre ou d’autres éléments sucrants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0409 00 000 0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Miel naturel</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0410 00 000 0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Produits alimentaires d’origine animale qui ne sont pas mentionnés dans d’autres positions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0502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Soie de porc ou de sanglier ; poils de blaireau ou autres poils utilisés pour la production des produits de brossage ; leurs déchets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0504 00 000 0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Boyaux, bulles et estomacs d’animaux (à l’exception de ceux de poisson), entiers ou en morceaux, frais, réfrigérés, congelés, salés, marinés, séchés ou fumés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0505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Peaux et autres parties d’oiseaux avec plumes ou duvet, plumes et parties de plumes (avec des bords coupés ou non coupés) et duvet, nettoyés, désinfectés ou travaillés pour la conservation, mais qui n’ont pas été soumis au traitement ultérieur ; poudre et déchets de plumes et de leurs parties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0506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Os et cornillon, bruts, dégraissés, soumis au traitement primaire (sans forme), traités par acide ou dépourvus de gélatine ; poudre et déchets de ces produits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0507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Ivoire, cuirasses des tortues, fanons de baleine ou d’autres mammifères maritimes, cornes, bois, sabots, ongles, griffes et becs, bruts ou soumis au traitement primaire sans forme ; poudre et déchets de ces produits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0510 00 000 0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Ambre gris, filet de castor, civette et musc ; lytta ; bile, y compris bile sèche ; glandes et autres produits d’origine animale utilisés pour la production des produits pharmaceutiques, frais, réfrigérés, congelés ou traités d’une autre manière pour la conservation de courte durée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0511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Produits d’origine animale qui ne sont pas mentionnés dans d’autres positions TN VED TC ; animaux morts du groupe 01 TN VED TC ou du groupe 03 TN VED TC, impropres à la consommation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0511 99 859 2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Crin de cheval et ses déchets, y compris sous forme de toile avec ou sans support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0511, de 9601, de 9705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Trophées de chasse, épouvantails, y compris ceux qui ont été soumis au traitement de taxidermie ou qui sont conservés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(uniquement pour les trophées de chasse non traités ou conservés)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 - pour les marchandises ayant subi un traitement de taxidermie complet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(si nécessaire) doivent contenir la dénomination de l’atelier de taxidermie qui a procédé au traitement primaire des trophées ou celle de la chasse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1001 19 000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Blé ferme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1001 99 000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Blé mou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1002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Seigle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1003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Orge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1004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Avoine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1005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Maïs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1201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Fèves de soja (uniquement des grains fourragers)&lt;3&gt;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1208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Farine fine et grossière à base de graines ou de fruits des oléacées (à l’exception des graines de moutarde) destinée à l’alimentation pour animaux&lt;3&gt;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1211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Plantes et leurs parties (y compris les graines et les fruits), utilisées en médecine vétérinaire, fraîches ou sèches, entières ou concassées, broyées ou moulues&lt;3&gt;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en cas de déclaration de l’utilisation des marchandises à des fins vétérinaires, notamment pour l’alimentation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1212 99 950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Pollen, pollen de fleurs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1213 00 000 0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Paille et vannure des céréales, brutes, concassées ou non concassées, moulues ou non moulues, comprimées ou granulées&lt;3&gt;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1214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Chou-navet, chou à feuilles (cardes), rhizocarpées de fourrage, paille, luzerne, trèfle, sainfoin, chou fourrager, lupin, vesces et produits fourragers similaires, granulés ou non granulés&lt;3&gt;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1301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Propolis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1501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Graisse porcine (y compris le lard) et graisse de volaille domestique, à l’exception de la graisse mentionnée dans les positions 15 et 62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1502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Graisse bovine, ovine ou caprine, à l’exception de celle qui est mentionnée à la position 62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1503 00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Saindoux-stéarine, saindoux-oïl, oléostéarine, oléo-oïl et huile animale, non émulsés ou non mélangés, ou non préparés autrement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1504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Graisses, huiles et leurs factions, à base de poisson ou de mammifères maritimes, non raffinées ou raffinées, mais sans modification de leur constitution chimique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1505 00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Suint et substances de graisse obtenues à partir de celui-ci (y compris la lanoline)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1506 00 000 0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Autres graisses et huiles d’animaux et leurs factions, non raffinées ou raffinées, mais sans modification de leur constitution chimique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1516 10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Graisses et huiles animales et leurs factions, entièrement ou partiellement hydrogénées, transestérifiées, réestérifiées ou élainisées, non raffinées ou raffinées, mais non soumises au traitement ultérieur</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1516 20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Graisses et huiles végétales et leurs factions, entièrement ou partiellement hydrogénées, transestérifiées, réestérifiées ou élainisées, non raffinées ou raffinées, mais non soumises au traitement ultérieur&lt;3&gt;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uniquement en cas de déclaration de l’utilisation des marchandises pour l’alimentation des animaux</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1518 00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Graisses ou huiles animales ou végétales et leurs factions, cuites, acidifiées, déshydratées, traitées au sulfuryle, acidifiées par insufflation aérienne, polymérisées par voie de la chauffe dans le vide ou dans le gaz inerte ou chimiquement modifiées d’une autre manière, à l’exception des produits de la position 1516 TN VED TC ; mélanges non comestibles ou produits finis à base de graisses ou d’huiles végétales ou animales et à base de fractions de différentes graisses et huiles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(en cas de déclaration de l’utilisation des marchandises en médecine vétérinaire, notamment pour l’alimentation des animaux) - pour les marchandises importées sur le territoire de la République de Bélarus et de la République du Kazakhstan ; certificat vétérinaire - pour les marchandises importées sur le territoire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et de la République du Kazakhstan ainsi qu’aux marchandises mentionnées dans cette position, importées sur le territoire de la Fédération de Russie, à l’exception des graisses végétales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1521 90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Cire d’abeille et cire d’autres insectes et de spermaceti, colorées ou non colorées, raffinées ou non raffinées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1601 00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Saucissons et produits de viande analogues, abats de viande ou de sang &lt;1&gt; ; produits alimentaires finis fabriqués à base de ces produits &lt;1&gt;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1602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Produits de viande, d’abats de viande ou de sang, finis ou conservés, autres&lt;1&gt;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1603 00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Extraits et jus de viande, de poisson ou de crustacés, de mollusques ou d’autres invertébrés aquatiques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1604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Poisson fini ou conservé&lt;1&gt; ; caviar d’esturgeon et ses imitations fabriquées à partir des œufs de poisson&lt;1&gt;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1605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Crustacés, mollusques et autres invertébrés aquatiques, finis ou conservés&lt;1&gt;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1902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Pâtes farcies, soumises ou non soumises au traitement thermique ou préparées d’une autre façon, contenant du poisson, des crustacés, des mollusques et d’autres invertébrés aquatiques, ou des produits du groupe 04 TN VED TC, ou toute combinaison de ces produits&lt;2&gt;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et de la République du Kazakhstan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1904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Graminées (à l’exception des graines de maïs) sous forme de germes ou de flocons ou de graines traitées autrement (à l’exception de la farine fine et grossière), préalablement cuites ou préparées autrement, contenant du poisson, des crustacés, des mollusques ou autres invertébrés aquatiques, du saucisson, de la viande, des abats de viande, du sang ou des produits du groupe 04 TN VED TC, ou toute autre combinaison de ces produits&lt;2&gt;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et de la République du Kazakhstan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du groupe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Produits issus de la transformation de légumes, de fruits, de noix ou d’autres parties de plantes et de leur mélange, contenant du saucisson, de la viande, des abats de viande, du sang, du poisson ou des crustacés, des mollusques ou autres invertébrés aquatiques, ou les produits du groupe 04 TN VED TC, ou toute autre combinaison de ces produits&lt;2&gt;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et de la République du Kazakhstan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2102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Levains inactifs &lt;3&gt; ; autres micro-organismes morts unicellulaires utilisés pour l’alimentation animale &lt;3&gt;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2104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Soupes et bouillons finis et conserves destinées à la préparation de ceux-ci (excepté ceux de légumes) ; produits alimentaires composés finis homogénéisés contenant du saucisson, de la viande, des abats de viande, du sang, du poisson, des crustacés, des mollusques ou d’autres invertébrés ou les produits du groupe 04 TN VED TC, ou toute autre combinaison de ces produits&lt;2&gt;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et de la République du Kazakhstan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2105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Glaces, à l’exception de celles qui sont fabriquées à base de fruits de baies, de glace fruitière et alimentaire&lt;2&gt;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pour les marchandises importées sur le territoire de la République de Bélarus et de la République du Kazakhstan ; certificat vétérinaire - pour les marchandises importées sur le territoire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2106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Autres produits alimentaires finis qui ne figurent pas dans d’autres positions TN VED TC&lt;2&gt;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pour les marchandises importées sur le territoire de la République de Bélarus et de la République du Kazakhstan ; certificat vétérinaire - pour les marchandises importées sur le territoire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et de la République du Kazakhstan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est nécessaire, si l’entreprise qui produit du saucisson, de la viande, des abats de viande, du sang, du poisson, des crustacés, des mollusques ou d’autres invertébrés ou les produits du groupe 04 TN VED TC, ou toute autre combinaison de ces produits, ne figure pas au registre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Farine fine et grossière et granules de viande ou d’abats de viande, de poisson ou de crustacés, de mollusques ou d’autres invertébrés aquatiques non comestibles ; couennes grillées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2302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Sons, criblures, provendes et autres restes du criblage, de la moulure ou d’autres moyens de transformation des graines de graminées ou des cultures de fève, granulés ou non granulés, utilisés pour l’alimentation animale&lt;3&gt;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2303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Restes de la production de l’amidon et restes analogues, presse betteravière, bagasse ou presse de la canne à sucre et autres déchets de la production du sucre, barde et autres déchets du brassage ou de la distillation, granulés ou non granulés, utilisés pour l’alimentation animale&lt;3&gt;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2304 00 000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Tourteaux et autres déchets fermes obtenus lors de l’extraction de l’huile de soja, non moulus ou moulus, non granulés ou granulés, utilisés pour l’alimentation animale&lt;3&gt;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2306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Tourteaux et autres déchets fermes obtenus lors de l’extraction des graisses ou huiles végétales, à l’exception des déchets de soja et d’arachide, non moulus ou moulus, non granulés ou granulés, utilisés pour l’alimentation animale&lt;3&gt;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2308 00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Produits d’origine végétale et déchets végétaux, restes végétaux et abats, non granulés ou granulés, utilisés pour l’alimentation animale&lt;3&gt;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2309</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Produits utilisés pour l’alimentation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pour les marchandises importées sur le territoire de la République de Bélarus et de la République du Kazakhstan ; certificat vétérinaire - pour les marchandises contenant des composants d’origine animale, importées sur le territoire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 (à l’exception des aliments pour chats et chiens dans des emballages d’usine, ayant subi un traitement thermique)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du groupe 29</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Combinaisons chimiques organiques (destinées à des fins vétérinaires)&lt;3&gt;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du groupe 30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Produits pharmaceutiques (destinés à des fins vétérinaires)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et de la République du Kazakhstan ainsi qu’aux marchandises non enregistrées importées depuis les pays tiers sur le territoire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en ce qui concerne les produits pharmaceutiques non enregistrés, l’autorisation d’importation et le certificat de qualité pour les additifs issus de la synthèse chimique et microbiologique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3101 00 000 0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Engrais d’origine animale ou végétale mélangés ou non mélangés, traités ou non traités chimiquement ; engrais obtenus au moyen du mélange ou du traitement chimique des produits d’origine végétale ou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pour les marchandises importées sur le territoire de la République de Bélarus et de la République du Kazakhstan ; certificat vétérinaire - pour les marchandises contenant des composants d’origine animale, importées sur le territoire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pour des marchandises soumises au contrôle contenant des composants d’origine animale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3501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Caséine, caséinates et autres dérivés de caséine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3502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Albumines (protéines) (y compris les concentrés de deux ou de plusieurs protéines de sérum, contenant plus de 80 % en poids de protéines de sérum recalculés en substance sèches), albuminates et autres dérivés d’albumine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3503 00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Gélatine (y compris celle des feuilles rectangulaires (et carrées), avec ou sans traitement superficiel, colorée ou non colorée) et dérivés de la gélatine ; colle de poisson ; autre colle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et de la République du Kazakhstan ; en ce qui concerne les marchandises importées depuis les pays tiers sur le territoire de la Fédération de Russie, 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3504 00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Peptones et leurs dérivés ; autres substances de protéines et leurs dérivés, qui ne sont pas mentionnés dans une autre position de la présente liste ; poudre de peau ou d’abats, chromée ou non chromée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3507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Ferments (enzymes)&lt;3&gt; ; préparations fermentatives (destinées à des fins vétérinaires)&lt;3&gt;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3808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Insecticides, rodenticides, produits désinfectants et analogues, empaquetés ou emballés pour la vente au détail ou présentés en forme de préparations ou produits finis (destinés à des fins vétérinaires)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et de la République du Kazakhstan ainsi qu’aux marchandises non enregistrées importées depuis les pays tiers sur le territoire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3821 00 000 0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Milieux culturels finis destinés à la culture ou le maintien de la vitalité des micro-organismes (y compris des virus etc.) ou des cellules végétales, humaines ou animales&lt;3&gt;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3822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Réactifs diagnostiques ou de laboratoire sur un support, réactifs finis diagnostiques ou de laboratoire sur ou sans support (destinés à des fins vétérinaires) ; matériaux d’étalon certifiés (destinés à des fins vétérinaires)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et de la République du Kazakhstan, alors qu’en ce qui concerne les marchandises importées depuis les pays tiers sur le territoire de la Fédération de Russie, la mesure s’applique jusqu’à l’adoption des règlements techniques correspondants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4101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Peaux bovines brutes (y compris celles de buffles) ou d’animaux de la famille des jumentés (fraîches ou salées, séchées, trempées dans un bain de chaux, traitées au chlorure de sodium et à l’acide ou conservées autrement, mais non doublées, non traitées pour parchemin ou non soumises au traitement ultérieur), avec ou sans poils, divisées ou non divisées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4102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Peaux brutes de brebis ou d’agneaux (fraîches ou salées, séchées, trempées dans un bain de chaux, traitées au chlorure de sodium et à l’acide ou conservées autrement, mais non doublées, non traitées pour parchemin ou non soumises au traitement ultérieur), avec ou sans poils, divisées ou non divisées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4103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Autres peaux brutes (fraîches ou salées, séchées, trempées dans un bain de chaux, traitées au chlorure de sodium et à l’acide ou conservées autrement, mais non doublées, non traitées pour parchemin ou non soumises au traitement ultérieur), avec ou sans poils, divisées ou non divisées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4206 00 000 0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Produits de boyaux (à l’exception de la fibre de fibroïne du bombyx), cæcium de taureau ou de vache, bulles ou tendons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Matières premières de duvet et de fourrure (y compris les têtes, les queues, les pattes et autres parties ou restes nécessaires à la fabrication des fourrures)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5101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Laine non soumise au cardage ou au brossage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5102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Poils d’animaux, fins ou grossiers, non cardés ou peignés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5103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Déchets de laine ou de poils fins ou grossiers d’animaux, y compris les déchets à filer, mais à l’exception des matières effilées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9508 10 000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Animaux de cirques ambulants et de ménageries ambulantes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9705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Collections et objets de collection en matière de zoologie, d’anatomie et de paléontologie des animaux (à l’exception des pièces exposées et conservées au musée)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110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3923,</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3926,</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4415</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4416 00 000 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4421,</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7020 00,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7309 00,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7310,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7326,</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7616,</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8436 10 000 0,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8436 21 000 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8436 29 000 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8436 80 900 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8606 91 800 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8609 00,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8716 39 800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Équipement et appareils de transport, d’élevage, de surexposition temporaire de tous les types d’animaux, ainsi que l’équipement de transport des matières premières (production) d’origine animale, équipement d’occasion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 (document délivré par l’autorité compétente du pays d’exportation en cas de situation épizootique difficile)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 xml:space="preserve">Oui (des exigences supplémentaires sont indiquées également en cas de situation épizootique difficile) </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1434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II. Mesures applicables à partir de l’adhésion de la République du Kazakhstan à l’Organisation mondiale du commerce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0101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Chevaux, ânes, mulets et bardots vivants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ou passeport vétérinaire (pour des chevaux de course)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0102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Bovins vivants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0103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Porcs vivants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0104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Brebis et chèvres vivantes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0105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Volaille vivante, notamment poules domestiques (Gallus domesticus), canards, oies, dindes et pintades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0106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Animaux vivants, à l’exception de ceux qui sont indiqués dans les positions 1-5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ou passeport vétérinaire (pour des chiens et des chats pour usage personnel dont la quantité n’est pas supérieure à 2 têtes)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 à l’exception de l’importation des chiens et des chats pour usage personnel dont la quantité n’est pas supérieure à 2 têtes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0201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Viande bovine, fraîche ou réfrigérée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0202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Viande bovine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0203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Viande de porc fraîche, réfrigérée ou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0204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Viande de mouton ou de chèvre fraîche, réfrigérée ou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0205 00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Viande de cheval, d’âne, de mulet ou de bardot, fraîche, réfrigérée ou congelée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0206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Abats alimentaires de bovins, de porcs, de brebis, de chèvres, de chevaux, d’ânes, de mulets ou de bardots, frais, réfrigérés ou congelés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0207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Viande et abats alimentaires de la volaille, spécifiée à la position 5 de la présente liste, frais, réfrigérés ou congelés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0208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Autre viande et abats alimentaires carnés, frais, réfrigérés ou congelés, à l’exception de ceux qui sont indiqués aux positions 7-13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0209</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Graisse porcine séparée de la viande maigre, et graisse de volaille, non fondues ou non extraites d’une autre manière, fraîches, réfrigérées, congelées, salées&lt;1&gt;, marinés&lt;1&gt;, séchées&lt;1&gt; ou fumées&lt;1&gt;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0210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Viande et abats alimentaires carnés, salés&lt;1&gt;, marinés&lt;1&gt;, séchés&lt;1&gt; ou fumés&lt;1&gt; ; farine alimentaire de viande ou d’abats de viande&lt;1&gt;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0301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Poisson frais comestible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0301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Poisson vivant destiné à l’élevage décoratif, y compris en aquarium, non comestible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0302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Poisson frais ou réfrigéré, à l’exception du filet de poisson et d’autre viande de poisson, mentionnés à la position 21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0303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Poisson congelé, à l’exception du filet de poisson et d’autre viande de poisson, mentionnés à la position 21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0304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Filet de poisson et autre viande de poisson (y compris la viande hachée), frais, réfrigérés ou congelés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0305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Poisson séché, salé ou mariné ; poisson fumé qui n’a pas été soumis ou qui a été soumis au traitement thermique avant ou pendant le processus de fumage&lt;1&gt; ; farine de poisson fine et grossière et granules de poisson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0306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Crustacés avec ou sans cuirasse, vivants, frais, réfrigérés, congelés, séchés&lt;1&gt;, salés&lt;1&gt; ou marinés&lt;1&gt; ; crustacés fumés avec ou sans cuirasse, qui n’ont pas été soumis ou qui ont été soumis au traitement thermique avant ou pendant le processus de fumage&lt;1&gt; ; crustacés avec cuirasse cuits à la vapeur&lt;1&gt; ou dans de l’eau bouillante&lt;1&gt;, réfrigérés ou non réfrigérés, congelés, séchés&lt;1&gt;, salés&lt;1&gt; ou marinés&lt;1&gt; ; farine fine et grossière et granules de crustacés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0307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Mollusques avec ou sans coquille, vivants, frais, réfrigérés, congelés, séchés&lt;1&gt;, salés&lt;1&gt; ou marinés&lt;1&gt; ; mollusques fumés avec ou sans coquille qui n’ont pas été soumis ou qui ont été soumis au traitement thermique avant ou pendant le processus de fumage&lt;1&gt; ; farine fine et grossière et granules de mollusques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0308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Invertébrés aquatiques différents des crustacés et mollusques, vivants, frais, réfrigérés, congelés, séchés&lt;1&gt;, salés&lt;1&gt; ou marinés&lt;1&gt; ; invertébrés aquatiques fumés différents des crustacés et mollusques qui n’ont pas été soumis ou qui ont été soumis au traitement thermique avant ou pendant le processus de fumage&lt;1&gt; ; farine fine et grossière et granules d’invertébrés aquatiques différents des crustacés et mollusques, comestibles&lt;1&gt;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0401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Lait et crème, non condensés et sans addition de sucre ou d’autres éléments sucrants (à l’exception du lait frais et de la crème fraîche)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0401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Lait frais et crème fraîche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0402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Lait et crème, condensés ou avec addition de sucre ou d’autres éléments sucrants&lt;1&gt;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0403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Babeurre, lait caillé et crème, yaourt, kéfir et autres laits fermentés ou acidifiés, concentrés ou non concentrés, avec ou sans addition de sucre ou d’autres éléments sucrants, avec ou sans additifs aromatisés, avec ou sans addition de fruits, noix ou cacao&lt;1&gt;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0404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Sérum laitier condensé ou non condensé, avec ou sans addition de sucre ou d’autres éléments sucrants&lt;1&gt; ; produits à base des composants laitiers naturels, avec ou sans addition de sucre ou d’autres éléments sucrants&lt;1&gt;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0405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Beurre et autres graisses et huiles à base de lait&lt;1&gt; ; pâtes laitières&lt;1&gt;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0406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Fromages et fromage blanc&lt;1&gt;, à l’exception des fromages fondus contenant du saucisson, de la viande, des abats de viande, du sang, du poisson, des crustacés, des mollusques ou d’autres invertébrés, ou les produits du groupe 04 TN VED TC, ou toute autre combinaison de ces produits&lt;4&gt;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0406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Fromages fondus contenant du saucisson, de la viande, des abats de viande, du sang, du poisson, des crustacés, des mollusques ou d’autres invertébrés, ou les produits du groupe 04 TN VED TC, ou toute autre combinaison de ces produits&lt;4&gt;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pour les marchandises importées sur le territoire de la République de Bélarus ; certificat vétérinaire - pour les marchandises importées sur le territoire de la République du Kazakhstan et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est nécessaire, si l’entreprise qui produit du saucisson, de la viande, des abats de viande, du sang, du poisson, des crustacés, des mollusques ou d’autres invertébrés ou les produits du groupe 04 TN VED TC, ou toute autre combinaison de ces produits, ne figure pas au registre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0407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Œufs d’oiseaux dans la coquille, frais, conservés&lt;1&gt; ou cuits&lt;1&gt;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est nécessaire uniquement pour des ovoproduits non transformés</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0408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Œufs d’oiseaux sans coquille et jaunes d’œufs, frais, séchés, cuits à la vapeur&lt;1&gt; ou dans de l’eau bouillante&lt;1&gt;, formés&lt;1&gt;, congelés ou conservés autrement&lt;1&gt;, avec ou sans addition de sucre ou d’autres éléments sucrants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0409 00 000 0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Miel naturel</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0410 00 000 0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Produits alimentaires d’origine animale qui ne sont pas mentionnés dans d’autres positions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0502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Soie de porc ou de sanglier ; poils de blaireau ou autres poils utilisés pour la production des produits de brossage ; leurs déchets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0504 00 000 0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Boyaux, bulles et estomacs d’animaux (à l’exception de ceux de poisson), entiers ou en morceaux, frais, réfrigérés, congelés, salés, marinés, séchés ou fumés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0505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Peaux et autres parties d’oiseaux avec plumes ou duvet, plumes et parties de plumes (avec des bords coupés ou non coupés) et duvet, nettoyés, désinfectés ou traités pour la conservation, mais non soumis au traitement ultérieur ; poudre et déchets de plumes et de leurs parties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0506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Os et cornillon, bruts, dégraissés, soumis au traitement primaire (sans forme), traités par acide ou dépourvus de gélatine ; poudre et déchets de ces produits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0507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Ivoire, cuirasses des tortues, fanons de baleine ou d’autres mammifères maritimes, cornes, bois, sabots, ongles, griffes et becs, bruts ou soumis au traitement primaire sans forme  ; poudre et déchets de ces produits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0510 00 000 0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Ambre gris, filet de castor, civette et musc ; lytta ; bile, y compris bile sèche ; glandes et autres produits d’origine animale utilisés pour la production des produits pharmaceutiques, frais, réfrigérés, congelés ou traités d’une autre manière pour la conservation de courte durée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0511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Produits d’origine animale qui ne sont pas mentionnés dans d’autres positions TN VED TC ; animaux morts du groupe 01 TN VED TC ou du groupe 03 TN VED TC, impropres à la consommation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0511 99 859 2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Crin de cheval et ses déchets, y compris sous forme de toile avec ou sans support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0511, de 9601, de 9705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Trophées de chasse, épouvantails, y compris ceux qui ont été soumis au traitement de taxidermie ou qui sont conservés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(uniquement pour les trophées de chasse non traités ou conservés)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 - pour les marchandises ayant subi un traitement de taxidermie complet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(si nécessaire) doivent contenir la dénomination de l’atelier de taxidermie qui a procédé au traitement primaire des trophées ou celle de la chasse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1001 19 000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Blé ferme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1001 99 000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Blé mou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1002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Seigle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1003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Orge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1004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Avoine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1005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Maïs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1201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Fèves de soja (uniquement des grains fourragers)&lt;5&gt;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1208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Farine fine et grossière à base de graines ou de fruits des oléacées (à l’exception des graines de moutarde) destinée à l’alimentation pour animaux&lt;5&gt;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1211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Plantes et leurs parties (y compris les graines et les fruits), utilisées en médecine vétérinaire, fraîches ou sèches, entières ou concassées, broyées ou moulues&lt;5&gt;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en cas de déclaration de l’utilisation des marchandises à des fins vétérinaires, notamment pour l’alimentation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1212 99 950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Pollen, pollen de fleurs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1213 00 000 0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Paille et vannure des céréales, brutes, concassées ou non concassées, moulues ou non moulues, comprimées ou granulées&lt;5&gt;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1214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Chou-navet, chou à feuilles (cardes), rhizocarpées de fourrage, paille, luzerne, trèfle, sainfoin, chou fourrager, lupin, vesces et produits fourragers similaires, granulés ou non granulés&lt;5&gt;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1301 90 000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Propolis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1501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Graisse porcine (y compris le lard) et graisse de volaille domestique, à l’exception de la graisse mentionnée dans les positions 15 et 62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1502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Graisse bovine, ovine ou caprine, à l’exception de celle qui est mentionnée dans la position 62 de la présente liste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1503 00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Saindoux-stéarine, saindoux-oïl, oléostéarine, oléo-oïl et huile animale, non émulsés ou non mélangés, ou non préparés autrement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1504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Graisses, huiles et leurs factions, à base de poisson ou de mammifères maritimes, non raffinées ou raffinées, mais sans modification de leur constitution chimique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1505 00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Suint et substances de graisse obtenues à partir de celui-ci (y compris la lanoline)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1506 00 000 0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Autres graisses et huiles d’animaux et leurs factions, non raffinées ou raffinées, mais sans modification de leur constitution chimique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1516 10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Graisses et huiles animales et leurs factions, entièrement ou partiellement hydrogénées, transestérifiées, réestérifiées ou élainisées, non raffinées ou raffinées, mais non soumises au traitement ultérieur</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uniquement pour les marchandises d’origine animale soumises au contrôle, destinées à des fins d’alimentation et de fourrage, n’ayant pas fait l’objet de la désinfection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151620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Graisses et huiles végétales et leurs factions, entièrement ou partiellement hydrogénées, transestérifiées, réestérifiées ou élainisées, non raffinées ou raffinées, mais non soumises au traitement ultérieur&lt;5&gt;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uniquement en cas de déclaration de l’utilisation des marchandises pour l’alimentation des animaux</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1518 00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Graisses ou huiles animales ou végétales et leurs factions, cuites, acidifiées, déshydratées, traitées au sulfuryle, acidifiées par insufflation aérienne, polymérisées par voie de la chauffe dans le vide ou dans le gaz inerte ou chimiquement modifiées d’une autre manière, à l’exception des produits de la position 1516 TN VED TC ; mélanges non comestibles ou produits finis à base de graisses ou d’huiles végétales ou animales et à base de fractions de différentes graisses et huiles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(en cas de déclaration de l’utilisation des marchandises en médecine vétérinaire, notamment pour l’alimentation animale) - pour les marchandises importées sur le territoire de la République de Bélarus ; certificat vétérinaire - pour les marchandises importées sur le territoire de la République du Kazakhstan et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ainsi qu’aux marchandises mentionnées dans cette position, importées sur le territoire de la République du Kazakhstan et de la Fédération de Russie, à l’exception des graisses végétales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69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1521 90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Cire d’abeille et cire d’autres insectes et de spermaceti, colorées ou non colorées, raffinées ou non raffinées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1601 00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Saucissons et produits de viande analogues, abats de viande ou de sang &lt;1&gt; ; produits alimentaires finis fabriqués à base de ces produits &lt;1&gt;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1602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Produits de viande, d’abats de viande ou de sang, finis ou conservés, autres&lt;1&gt;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1603 00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Extraits et jus de viande, de poisson ou de crustacés, de mollusques ou d’autres invertébrés aquatiques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1604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Poisson fini ou conservé&lt;1&gt; ; caviar d’esturgeon et ses imitations fabriquées à partir des œufs de poisson&lt;1&gt;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1605</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Crustacés, mollusques et autres invertébrés aquatiques, finis ou conservés&lt;1&gt;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1902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Pâtes farcies, soumises ou non soumises au traitement thermique ou préparées d’une autre façon, contenant du poisson, des crustacés, des mollusques et d’autres invertébrés aquatiques, ou des produits du groupe 04 TN VED TC, ou toute combinaison de ces produits&lt;4&gt;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1904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Graminées (à l’exception des graines de maïs) sous forme de germes ou de flocons ou de graines traitées autrement (à l’exception de la farine fine et grossière), préalablement cuites ou préparées autrement, contenant du poisson, des crustacés, des mollusques ou autres invertébrés aquatiques, du saucisson, de la viande, des abats de viande, du sang ou des produits du groupe 04 TN VED TC, ou toute autre combinaison de ces produits&lt;4&gt;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du groupe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Produits issus de la transformation de légumes, de fruits, de noix ou d’autres parties de plantes et de leur mélange, contenant du saucisson, de la viande, des abats de viande, du sang, du poisson ou des crustacés, des mollusques ou autres invertébrés aquatiques, ou les produits du groupe 04 TN VED TC, ou toute autre combinaison de ces produits&lt;4&gt;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2102 20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Levains inactifs &lt;5&gt; ; autres micro-organismes morts unicellulaires utilisés pour l’alimentation animale &lt;5&gt;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79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2104</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Soupes et bouillons finis et conserves destinées à la préparation de ceux-ci (excepté ceux de légumes) ; produits alimentaires composés finis homogénéisés contenant du saucisson, de la viande, des abats de viande, du sang, du poisson, des crustacés, des mollusques ou d’autres invertébrés ou les produits du groupe 04 TN VED TC, ou toute autre combinaison de ces produits&lt;4&gt;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(l’exception des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 (à l’exception des marchandises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2105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Glaces, à l’exception de celles qui sont fabriquées à base de fruits de baies, de glace fruitière et alimentaire&lt;4&gt;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pour les marchandises importées sur le territoire de la République de Bélarus ; certificat vétérinaire - pour les marchandises importées sur le territoire de la République du Kazakhstan et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2106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Autres produits alimentaires finis qui ne figurent pas dans d’autres positions TN VED TC&lt;4&gt;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pour les marchandises importées sur le territoire de la République de Bélarus ; certificat vétérinaire - pour les marchandises importées sur le territoire de la République du Kazakhstan et de la Fédération de Russie (sauf pour les produits contenant moins de 50 % de composants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sur le territoire de la République de Bélarus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est nécessaire, si l’entreprise qui produit du saucisson, de la viande, des abats de viande, du sang, du poisson, des crustacés, des mollusques ou d’autres invertébrés ou les produits du groupe 04 TN VED TC, ou toute autre combinaison de ces produits, ne figure pas au registre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Farine fine et grossière et granules de viande ou d’abats de viande, de poisson ou de crustacés, de mollusques ou d’autres invertébrés aquatiques non comestibles ; couennes grillées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2302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Sons, criblures, provendes et autres restes du criblage, de la moulure ou d’autres moyens de transformation des graines de graminées ou des cultures de fève, granulés ou non granulés, utilisés pour l’alimentation animale&lt;5&gt;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2303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Restes de la production de l’amidon et restes analogues, presse betteravière, bagasse ou presse de la canne à sucre et autres déchets de la production du sucre, barde et autres déchets du brassage ou de la distillation, granulés ou non granulés, utilisés pour l’alimentation animale&lt;5&gt;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2304 00 000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Tourteaux et autres déchets fermes obtenus lors de l’extraction de l’huile de soja, non moulus ou moulus, non granulés ou granulés, utilisés pour l’alimentation animale&lt;5&gt;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2306</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Tourteaux et autres déchets fermes obtenus lors de l’extraction des graisses ou huiles végétales, à l’exception des déchets de soja et d’arachide, non moulus ou moulus, non granulés ou granulés, utilisés pour l’alimentation animale&lt;5&gt;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2308 00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Produits d’origine végétale et déchets végétaux, restes végétaux et abats, non granulés ou granulés, utilisés pour l’alimentation animale&lt;5&gt;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2309</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Produits utilisés pour l’alimentation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pour les marchandises importées sur le territoire de la République de Bélarus ; certificat vétérinaire - pour les marchandises contenant des composants d’origine animale, importées sur le territoire de la République du Kazakhstan et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 (à l’exception des aliments pour chats, chiens, putois, furets, mustéla putorius, rongeurs, animaux aquatiques d’aquarium et de terrarium, dans des emballages d’usine, soumis au traitement thermique)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89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du groupe 29</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Combinaisons chimiques organiques (destinées à des fins vétérinaires)&lt;5&gt;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du groupe 30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Produits pharmaceutiques (destinés à des fins vétérinaires)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ainsi qu’aux marchandises non enregistrées importées depuis les pays tiers sur le territoire de la République du Kazakhstan et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en ce qui concerne les produits pharmaceutiques non enregistrés, l’autorisation d’importation et le certificat de qualité pour les additifs issus de la synthèse chimique et microbiologique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3101 00 000 0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Engrais d’origine animale ou végétale mélangés ou non mélangés, traités ou non traités chimiquement ; engrais obtenus au moyen du mélange ou du traitement chimique des produits d’origine végétale ou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 - pour les marchandises importées sur le territoire de la République de Bélarus ; certificat vétérinaire - pour les marchandises contenant des composants d’origine animale, importées sur le territoire de la République du Kazakhstan et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pour des marchandises soumises au contrôle contenant des composants d’origine animale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3501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Caséine, caséinates et autres dérivés de caséine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3502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Albumines (protéines) (y compris les concentrés de deux ou de plusieurs protéines de sérum, contenant plus de 80 % en poids de protéines de sérum recalculés en substance sèches), albuminates et autres dérivés d’albumine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3503 00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Gélatine (y compris celle des feuilles rectangulaires (et carrées), avec ou sans traitement superficiel, colorée ou non colorée) et dérivés de la gélatine ; colle de poisson ; autre colle d’origine animale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 en ce qui concerne les marchandises importées depuis les pays tiers sur le territoire de la République du Kazakhstan et de la Fédération de Russie, l’inscription au registre n’est pas nécessaire, mais le certificat vétérinaire doit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3504 00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Peptones et leurs dérivés ; autres substances de protéines et leurs dérivés, qui ne sont pas mentionnés dans une autre position de la présente liste ; poudre de peau ou d’abats, chromée ou non chromée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3507</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Ferments (enzymes)&lt;5&gt; ; préparations fermentatives (destinées à des fins vétérinaires)&lt;5&gt;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3808</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Insecticides, rodenticides, produits désinfectants et analogues, empaquetés ou emballés pour la vente au détail ou présentés en forme de préparations ou produits finis (destinés à des fins vétérinaires)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ainsi qu’aux marchandises non enregistrées importées depuis les pays tiers sur le territoire de la République du Kazakhstan et de la Fédération de Russie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3821 00 000 0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Milieux culturels finis destinés à la culture ou le maintien de la vitalité des micro-organismes (y compris des virus etc.) ou des cellules végétales, humaines ou animales&lt;5&gt;</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99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3822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Réactifs diagnostiques ou de laboratoire sur un support, réactifs finis diagnostiques ou de laboratoire sur ou sans support (destinés à des fins vétérinaires) ; matériaux d’étalon certifiés (destinés à des fins vétérinaires)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 mesure s’applique aux marchandises importées depuis les pays tiers sur le territoire de la République de Bélarus, alors qu’en ce qui concerne les marchandises importées depuis les pays tiers sur le territoire de la République du Kazakhstan et de la Fédération de Russie, la mesure s’applique jusqu’à l’adoption des règlements techniques correspondants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4101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Peaux bovines brutes (y compris celles de buffles) ou d’animaux de la famille des jumentés (fraîches ou salées, séchées, trempées dans un bain de chaux, traitées au chlorure de sodium et à l’acide ou conservées autrement, mais non doublées, non traitées pour parchemin ou non soumises au traitement ultérieur), avec ou sans poils, divisées ou non divisées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101</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4102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Peaux brutes de brebis ou d’agneaux (fraîches ou salées, séchées, trempées dans un bain de chaux, traitées au chlorure de sodium et à l’acide ou conservées autrement, mais non doublées, non traitées pour parchemin ou non soumises au traitement ultérieur), avec ou sans poils, divisées ou non divisées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102</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4103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Autres peaux brutes (fraîches ou salées, séchées, trempées dans un bain de chaux, traitées au chlorure de sodium et à l’acide ou conservées autrement, mais non doublées, non traitées pour parchemin ou non soumises au traitement ultérieur), avec ou sans poils, divisées ou non divisées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103</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4206 00 000 0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Produits de boyaux (à l’exception de la fibre de fibroïne du bombyx), cæcium de taureau ou de vache, bulles ou tendons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104</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4301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Matières premières de duvet et de fourrure (y compris les têtes, les queues, les pattes et autres parties ou restes nécessaires à la fabrication des fourrures)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105</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5101</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Laine non soumise au cardage ou au brossage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106</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5102</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Poils d’animaux, fins ou grossiers, non cardés ou peignés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107</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5103</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Déchets de laine ou de poils fins ou grossiers d’animaux, y compris les déchets à filer, mais à l’exception des matières effilées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108</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9508 10 000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Animaux de cirques ambulants et de ménageries ambulantes</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L’inscription au registre n’est pas nécessaire, mais l’autorisation d’importation et le certificat vétérinaire doivent contenir le numéro et (ou) la dénomination de l’entreprise ayant mis en circulation les marchandises soumises au contrôle</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109</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9705 00 000 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Collections et objets de collection en matière de zoologie, d’anatomie et de paléontologie des animaux (à l’exception des pièces exposées et conservées au musée)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Certificat vétérinaire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Oui</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r w:rsidR="007D34EA" w:rsidRPr="0083583E" w:rsidTr="003055B0">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cs="Arial"/>
                <w:noProof/>
                <w:sz w:val="20"/>
                <w:lang w:eastAsia="fr-FR"/>
              </w:rPr>
              <w:t>110</w:t>
            </w:r>
          </w:p>
        </w:tc>
        <w:tc>
          <w:tcPr>
            <w:tcW w:w="2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3923,</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3926,</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4415,</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4416 00 000 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4421,</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7020 00,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7309 00,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7310,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7326,</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7616,</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8436 10 000 0,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8436 21 000 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8436 29 000 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8436 80 900 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8606 91 800 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8609 00,</w:t>
            </w:r>
          </w:p>
          <w:p w:rsidR="007D34EA" w:rsidRPr="003055B0" w:rsidRDefault="007D34EA" w:rsidP="003055B0">
            <w:pPr>
              <w:widowControl w:val="0"/>
              <w:autoSpaceDE w:val="0"/>
              <w:autoSpaceDN w:val="0"/>
              <w:adjustRightInd w:val="0"/>
              <w:spacing w:after="0" w:line="240" w:lineRule="auto"/>
              <w:jc w:val="center"/>
              <w:rPr>
                <w:rFonts w:ascii="Times New Roman" w:hAnsi="Times New Roman" w:cs="Arial"/>
                <w:noProof/>
                <w:sz w:val="20"/>
                <w:lang w:eastAsia="fr-FR"/>
              </w:rPr>
            </w:pPr>
            <w:r w:rsidRPr="003055B0">
              <w:rPr>
                <w:rFonts w:ascii="Times New Roman" w:hAnsi="Times New Roman"/>
                <w:noProof/>
                <w:sz w:val="20"/>
                <w:lang w:eastAsia="fr-FR"/>
              </w:rPr>
              <w:t>de 8716 39 800</w:t>
            </w:r>
          </w:p>
        </w:tc>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Équipement et appareils de transport, d’élevage, de surexposition temporaire de tous les types d’animaux, ainsi que l’équipement de transport des matières premières (production) d’origine animale, équipement d’occasion</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 (document délivré par l’autorité compétente du pays d’exportation en cas de situation épizootique difficile)</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 xml:space="preserve">Oui (des exigences supplémentaires sont indiquées également en cas de situation épizootique difficile) </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34EA" w:rsidRPr="003055B0" w:rsidRDefault="007D34EA" w:rsidP="003055B0">
            <w:pPr>
              <w:widowControl w:val="0"/>
              <w:autoSpaceDE w:val="0"/>
              <w:autoSpaceDN w:val="0"/>
              <w:adjustRightInd w:val="0"/>
              <w:spacing w:after="0" w:line="240" w:lineRule="auto"/>
              <w:rPr>
                <w:rFonts w:ascii="Times New Roman" w:hAnsi="Times New Roman" w:cs="Arial"/>
                <w:noProof/>
                <w:sz w:val="20"/>
                <w:lang w:eastAsia="fr-FR"/>
              </w:rPr>
            </w:pPr>
            <w:r w:rsidRPr="003055B0">
              <w:rPr>
                <w:rFonts w:ascii="Times New Roman" w:hAnsi="Times New Roman"/>
                <w:noProof/>
                <w:sz w:val="20"/>
                <w:lang w:eastAsia="fr-FR"/>
              </w:rPr>
              <w:t>Non</w:t>
            </w:r>
          </w:p>
        </w:tc>
      </w:tr>
    </w:tbl>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sectPr w:rsidR="007D34EA" w:rsidRPr="0083583E">
          <w:headerReference w:type="default" r:id="rId8"/>
          <w:footerReference w:type="default" r:id="rId9"/>
          <w:pgSz w:w="16838" w:h="11906" w:orient="landscape"/>
          <w:pgMar w:top="1133" w:right="1440" w:bottom="566" w:left="1440" w:header="0" w:footer="0" w:gutter="0"/>
          <w:cols w:space="720"/>
          <w:noEndnote/>
        </w:sect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cs="Arial"/>
          <w:noProof/>
          <w:sz w:val="20"/>
          <w:lang w:eastAsia="fr-FR"/>
        </w:rPr>
        <w:t>--------------------------------</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&lt;1&gt; En prospérité épizootique.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&lt;2&gt;Le contrôle vétérinaire n’est pas réalisé pour les produits alimentaires finis qui sont destinés à la Fédération de Russie et qui ne contiennent pas de composants carnés crus ou dont la composition présente moins de la moitié (50 %) d’un autre produit transformé d’origine animale, à condition que ces produits soient emballés de façon fiable ou scellés dans des récipients propres et qu’ils puissent être conservés à la température ambiante ou qu’au cours de la production, ces produits aient été entièrement finis ou qu’ils aient subi un traitement thermique complet jusqu’à la modification complète des propriétés naturelles du produit cru.</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&lt;3&gt;Les marchandises destinées à la Fédération de Russie ne sont pas soumis au contrôle vétérinaire et ne sont visées par aucune mesure mentionnée dans les colonnes 4-6 de la présente liste.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&lt;4&gt;Le contrôle vétérinaire n’est pas réalisé pour les produits alimentaires finis qui sont destinés à la République du Kazakhstan et à la Fédération de Russie et qui ne contiennent pas de composants carnés crus ou dont la composition présente moins de la moitié (50 %) d’un autre produit transformé d’origine animale, à condition que ces produits soient emballés de façon fiable ou scellés dans des récipients propres et qu’ils puissent être conservés à la température ambiante ou qu’au cours de la production, ces produits aient été entièrement finis ou qu’ils aient subi un traitement thermique complet jusqu’à la modification complète des propriétés naturelles du produit cru.</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&lt;5&gt;Les marchandises destinées à la République du Kazakhstan et à la Fédération de Russie ne sont pas soumis au contrôle vétérinaire et ne sont visées par aucune mesure mentionnée dans les colonnes 4-6 de la présente liste.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right"/>
        <w:outlineLvl w:val="1"/>
        <w:rPr>
          <w:rFonts w:ascii="Times New Roman" w:hAnsi="Times New Roman" w:cs="Arial"/>
          <w:noProof/>
          <w:sz w:val="20"/>
          <w:lang w:eastAsia="fr-FR"/>
        </w:rPr>
      </w:pPr>
      <w:bookmarkStart w:id="49" w:name="Par4945"/>
      <w:bookmarkEnd w:id="49"/>
      <w:r w:rsidRPr="0083583E">
        <w:rPr>
          <w:rFonts w:ascii="Times New Roman" w:hAnsi="Times New Roman"/>
          <w:noProof/>
          <w:sz w:val="20"/>
          <w:lang w:eastAsia="fr-FR"/>
        </w:rPr>
        <w:t>Annexe n° 2</w:t>
      </w:r>
    </w:p>
    <w:p w:rsidR="007D34EA" w:rsidRPr="0083583E" w:rsidRDefault="007D34EA"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83583E">
        <w:rPr>
          <w:rFonts w:ascii="Times New Roman" w:hAnsi="Times New Roman"/>
          <w:noProof/>
          <w:sz w:val="20"/>
          <w:lang w:eastAsia="fr-FR"/>
        </w:rPr>
        <w:t>aux Exigences vétérinaires</w:t>
      </w:r>
    </w:p>
    <w:p w:rsidR="007D34EA" w:rsidRPr="0083583E" w:rsidRDefault="007D34EA"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83583E">
        <w:rPr>
          <w:rFonts w:ascii="Times New Roman" w:hAnsi="Times New Roman"/>
          <w:noProof/>
          <w:sz w:val="20"/>
          <w:lang w:eastAsia="fr-FR"/>
        </w:rPr>
        <w:t>(vétérinaires et sanitaires) communes</w:t>
      </w:r>
    </w:p>
    <w:p w:rsidR="007D34EA" w:rsidRPr="0083583E" w:rsidRDefault="007D34EA"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83583E">
        <w:rPr>
          <w:rFonts w:ascii="Times New Roman" w:hAnsi="Times New Roman"/>
          <w:noProof/>
          <w:sz w:val="20"/>
          <w:lang w:eastAsia="fr-FR"/>
        </w:rPr>
        <w:t>pour les marchandises soumises au</w:t>
      </w:r>
    </w:p>
    <w:p w:rsidR="007D34EA" w:rsidRPr="0083583E" w:rsidRDefault="007D34EA"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83583E">
        <w:rPr>
          <w:rFonts w:ascii="Times New Roman" w:hAnsi="Times New Roman"/>
          <w:noProof/>
          <w:sz w:val="20"/>
          <w:lang w:eastAsia="fr-FR"/>
        </w:rPr>
        <w:t>contrôle (à la surveillance) vétérinaire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EXEMPLE DU PASSEPORT VÉTÉRINAIRE POUR ANIMAL</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F072BE">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(annexe insérée par la décision n° 307 du Collège de la Commission économique eurasienne du 25.12.2012)</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0" w:name="Par4956"/>
      <w:bookmarkEnd w:id="50"/>
      <w:r w:rsidRPr="0083583E">
        <w:rPr>
          <w:rFonts w:ascii="Times New Roman" w:hAnsi="Times New Roman"/>
          <w:noProof/>
          <w:sz w:val="20"/>
          <w:lang w:eastAsia="fr-FR"/>
        </w:rPr>
        <w:t xml:space="preserve">                      PASSEPORT VÉTÉRINAIRE POUR ANIMAL</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(page 1)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1" w:name="Par4960"/>
      <w:bookmarkEnd w:id="51"/>
      <w:r w:rsidRPr="0083583E">
        <w:rPr>
          <w:rFonts w:ascii="Times New Roman" w:hAnsi="Times New Roman"/>
          <w:noProof/>
          <w:sz w:val="20"/>
          <w:lang w:eastAsia="fr-FR"/>
        </w:rPr>
        <w:t>I. Propriétaire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Prénom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Adresse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Code postal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Ville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Pays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Prénom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Adresse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Code postal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Ville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Pays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Prénom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Adresse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Code postal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Ville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Pays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(page 2)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2" w:name="Par5024"/>
      <w:bookmarkEnd w:id="52"/>
      <w:r w:rsidRPr="0083583E">
        <w:rPr>
          <w:rFonts w:ascii="Times New Roman" w:hAnsi="Times New Roman"/>
          <w:noProof/>
          <w:sz w:val="20"/>
          <w:lang w:eastAsia="fr-FR"/>
        </w:rPr>
        <w:t>II. Description de l’animal</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Photo de l’animal (facultative)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Espèce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Race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Sexe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Date de naissance &lt;*&gt;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Poils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(couleur et type)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&lt;*&gt; Indiquée par le propriétaire.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(page 3)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3" w:name="Par5060"/>
      <w:bookmarkEnd w:id="53"/>
      <w:r w:rsidRPr="0083583E">
        <w:rPr>
          <w:rFonts w:ascii="Times New Roman" w:hAnsi="Times New Roman"/>
          <w:noProof/>
          <w:sz w:val="20"/>
          <w:lang w:eastAsia="fr-FR"/>
        </w:rPr>
        <w:t>III. Identification de l’animal</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Numéro de la puce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Date d’implantation de la puce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Endroit d’implantation de la puce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Numéro du marquage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Date de marquage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Marques particulières</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Renseignements relatifs à la reproduction (stérilisation, castration)</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L’identification doit avoir lieu avant toute nouvelle mention dans ce passeport.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(pages 4 - 7)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4" w:name="Par5102"/>
      <w:bookmarkEnd w:id="54"/>
      <w:r w:rsidRPr="0083583E">
        <w:rPr>
          <w:rFonts w:ascii="Times New Roman" w:hAnsi="Times New Roman"/>
          <w:noProof/>
          <w:sz w:val="20"/>
          <w:lang w:eastAsia="fr-FR"/>
        </w:rPr>
        <w:t>IV. Vaccination contre la rage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du vaccin, fabricant,                         Date de vaccination             Vétérinaire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numéro du lot, date de fabrication,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durée de validité                                     │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Valable jusqu’au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  │Signature et sceau│</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du vaccin, fabricant,                        Date de vaccination             Vétérinaire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numéro du lot, date de fabrication,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durée de validité                                    │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Valable jusqu’au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  │Signature et sceau│</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du vaccin, fabricant,                      Date de vaccination                 Vétérinaire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numéro du lot, date de fabrication,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durée de validité                                         │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Valable jusqu’au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  │Signature et sceau│</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(pages 8 et 9)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5" w:name="Par5139"/>
      <w:bookmarkEnd w:id="55"/>
      <w:r w:rsidRPr="0083583E">
        <w:rPr>
          <w:rFonts w:ascii="Times New Roman" w:hAnsi="Times New Roman"/>
          <w:noProof/>
          <w:sz w:val="20"/>
          <w:lang w:eastAsia="fr-FR"/>
        </w:rPr>
        <w:t>V. Détection des titres des anticorps neutralisant le virus de la rage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J’ai pris connaissance de la mention officielle relative aux résultats de la détection des titres des anticorps</w:t>
      </w:r>
      <w:r w:rsidRPr="0083583E">
        <w:rPr>
          <w:rFonts w:ascii="Times New Roman" w:hAnsi="Times New Roman" w:cs="Courier New"/>
          <w:noProof/>
          <w:sz w:val="20"/>
          <w:lang w:eastAsia="fr-FR"/>
        </w:rPr>
        <w:t xml:space="preserve"> </w:t>
      </w:r>
      <w:r w:rsidRPr="0083583E">
        <w:rPr>
          <w:rFonts w:ascii="Times New Roman" w:hAnsi="Times New Roman"/>
          <w:noProof/>
          <w:sz w:val="20"/>
          <w:lang w:eastAsia="fr-FR"/>
        </w:rPr>
        <w:t>neutralisant le virus de la rage dans le sérum sanguin prélevé le __/__/____/ (jour/mois/année),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effectuée par ________________________, possédant l’accréditation internationale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xml:space="preserve">                     (dénomination du laboratoire)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pour cette analyse, qui constate que le titre des anticorps neutralisant la rage</w:t>
      </w:r>
      <w:r w:rsidRPr="0083583E">
        <w:rPr>
          <w:rFonts w:ascii="Times New Roman" w:hAnsi="Times New Roman" w:cs="Courier New"/>
          <w:noProof/>
          <w:sz w:val="20"/>
          <w:lang w:eastAsia="fr-FR"/>
        </w:rPr>
        <w:t xml:space="preserve"> </w:t>
      </w:r>
      <w:r w:rsidRPr="0083583E">
        <w:rPr>
          <w:rFonts w:ascii="Times New Roman" w:hAnsi="Times New Roman"/>
          <w:noProof/>
          <w:sz w:val="20"/>
          <w:lang w:eastAsia="fr-FR"/>
        </w:rPr>
        <w:t>était égal ou supérieur à 0,5 UI/ml.</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prénom du vétérinaire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Date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Signature et sceau du vétérinaire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(pages 10 et 11)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6" w:name="Par5165"/>
      <w:bookmarkEnd w:id="56"/>
      <w:r w:rsidRPr="0083583E">
        <w:rPr>
          <w:rFonts w:ascii="Times New Roman" w:hAnsi="Times New Roman"/>
          <w:noProof/>
          <w:sz w:val="20"/>
          <w:lang w:eastAsia="fr-FR"/>
        </w:rPr>
        <w:t>VI. Traitement contre les ectoparasites</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du médicament et                  Date         Vétérinaire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fabricant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  Signature et sceau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du médicament et                  Date         Vétérinaire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fabricant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  Signature et sceau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du médicament et                  Date         Vétérinaire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fabricant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  Signature et sceau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(pages 12 et 13)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7" w:name="Par5190"/>
      <w:bookmarkEnd w:id="57"/>
      <w:r w:rsidRPr="0083583E">
        <w:rPr>
          <w:rFonts w:ascii="Times New Roman" w:hAnsi="Times New Roman"/>
          <w:noProof/>
          <w:sz w:val="20"/>
          <w:lang w:eastAsia="fr-FR"/>
        </w:rPr>
        <w:t>VII. Vermifugation</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du médicament et                  Date de traitement         Vétérinaire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fabricant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  Signature et sceau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du médicament et                  Date de traitement         Vétérinaire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fabricant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  Signature et sceau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du médicament et                  Date de traitement         Vétérinaire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fabricant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  Signature et sceau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(pages 14 - 17)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8" w:name="Par5215"/>
      <w:bookmarkEnd w:id="58"/>
      <w:r w:rsidRPr="0083583E">
        <w:rPr>
          <w:rFonts w:ascii="Times New Roman" w:hAnsi="Times New Roman"/>
          <w:noProof/>
          <w:sz w:val="20"/>
          <w:lang w:eastAsia="fr-FR"/>
        </w:rPr>
        <w:t>VIII. Autres vaccinations</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du vaccin, fabricant,                     Date de vaccination    Vétérinaire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numéro du lot, date de fabrication,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durée de validité                                         │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Valable jusqu’au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  │Signature et sceau│</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du vaccin, fabricant,                       Date de vaccination    Vétérinaire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numéro du lot, date de fabrication,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durée de validité                                         │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Valable jusqu’au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  │Signature et sceau│</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du vaccin, fabricant,                      Date de vaccination    Vétérinaire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numéro du lot, date de fabrication,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durée de validité                                         │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xml:space="preserve">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Valable jusqu’au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  │Signature et sceau│</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(pages 18 - 20)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59" w:name="Par5252"/>
      <w:bookmarkEnd w:id="59"/>
      <w:r w:rsidRPr="0083583E">
        <w:rPr>
          <w:rFonts w:ascii="Times New Roman" w:hAnsi="Times New Roman"/>
          <w:noProof/>
          <w:sz w:val="20"/>
          <w:lang w:eastAsia="fr-FR"/>
        </w:rPr>
        <w:t>IX. Examen clinique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Conclusion                          Date             Vétérinaire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│L’animal est cliniquement       │                    │    Signature et sceau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│en bonne santé et peut être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│transporté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Conclusion                          Date             Vétérinaire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│L’animal est cliniquement       │                    │    Signature et sceau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│en bonne santé et peut être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│transporté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Conclusion                          Date             Vétérinaire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│L’animal est cliniquement       │                    │    Signature et sceau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│en bonne santé et peut être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│transporté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(pages 21 - 23)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60" w:name="Par5283"/>
      <w:bookmarkEnd w:id="60"/>
      <w:r w:rsidRPr="0083583E">
        <w:rPr>
          <w:rFonts w:ascii="Times New Roman" w:hAnsi="Times New Roman"/>
          <w:noProof/>
          <w:sz w:val="20"/>
          <w:lang w:eastAsia="fr-FR"/>
        </w:rPr>
        <w:t>X. Signature de la personne compétente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prénom, fonction</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de la personne compétente                Date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  Signature et sceau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prénom, fonction</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de la personne compétente                Date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  Signature et sceau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Nom, prénom, fonction</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de la personne compétente                Date</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                    │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                │  Signature et sceau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(page 24)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61" w:name="Par5314"/>
      <w:bookmarkEnd w:id="61"/>
      <w:r w:rsidRPr="0083583E">
        <w:rPr>
          <w:rFonts w:ascii="Times New Roman" w:hAnsi="Times New Roman"/>
          <w:noProof/>
          <w:sz w:val="20"/>
          <w:lang w:eastAsia="fr-FR"/>
        </w:rPr>
        <w:t>XI. Analyses du sérum sanguin des chats</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Pour la détection du virus de la leucémie féline (FeLV)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Pour la détection des anticorps neutralisant le virus de l’immunodéficience féline (FIV)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noProof/>
          <w:sz w:val="20"/>
          <w:lang w:eastAsia="fr-FR"/>
        </w:rPr>
        <w:t>--------------------------- (pages 25 et 26)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bookmarkStart w:id="62" w:name="Par5332"/>
      <w:bookmarkEnd w:id="62"/>
      <w:r w:rsidRPr="0083583E">
        <w:rPr>
          <w:rFonts w:ascii="Times New Roman" w:hAnsi="Times New Roman"/>
          <w:noProof/>
          <w:sz w:val="20"/>
          <w:lang w:eastAsia="fr-FR"/>
        </w:rPr>
        <w:t>XII. Remarques</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                                                                         │</w:t>
      </w:r>
    </w:p>
    <w:p w:rsidR="007D34EA" w:rsidRPr="0083583E" w:rsidRDefault="007D34EA" w:rsidP="00A7396A">
      <w:pPr>
        <w:widowControl w:val="0"/>
        <w:autoSpaceDE w:val="0"/>
        <w:autoSpaceDN w:val="0"/>
        <w:adjustRightInd w:val="0"/>
        <w:spacing w:after="0" w:line="240" w:lineRule="auto"/>
        <w:rPr>
          <w:rFonts w:ascii="Times New Roman" w:hAnsi="Times New Roman" w:cs="Courier New"/>
          <w:noProof/>
          <w:sz w:val="20"/>
          <w:lang w:eastAsia="fr-FR"/>
        </w:rPr>
      </w:pPr>
      <w:r w:rsidRPr="0083583E">
        <w:rPr>
          <w:rFonts w:ascii="Times New Roman" w:hAnsi="Times New Roman" w:cs="Courier New"/>
          <w:noProof/>
          <w:sz w:val="20"/>
          <w:lang w:eastAsia="fr-FR"/>
        </w:rPr>
        <w:t>└──────────────────────────────────────────────────────────────┘</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right"/>
        <w:outlineLvl w:val="1"/>
        <w:rPr>
          <w:rFonts w:ascii="Times New Roman" w:hAnsi="Times New Roman" w:cs="Arial"/>
          <w:noProof/>
          <w:sz w:val="20"/>
          <w:lang w:eastAsia="fr-FR"/>
        </w:rPr>
      </w:pPr>
      <w:bookmarkStart w:id="63" w:name="Par5345"/>
      <w:bookmarkEnd w:id="63"/>
      <w:r w:rsidRPr="0083583E">
        <w:rPr>
          <w:rFonts w:ascii="Times New Roman" w:hAnsi="Times New Roman"/>
          <w:noProof/>
          <w:sz w:val="20"/>
          <w:lang w:eastAsia="fr-FR"/>
        </w:rPr>
        <w:t>Annexe n° 3</w:t>
      </w:r>
    </w:p>
    <w:p w:rsidR="007D34EA" w:rsidRPr="0083583E" w:rsidRDefault="007D34EA"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83583E">
        <w:rPr>
          <w:rFonts w:ascii="Times New Roman" w:hAnsi="Times New Roman"/>
          <w:noProof/>
          <w:sz w:val="20"/>
          <w:lang w:eastAsia="fr-FR"/>
        </w:rPr>
        <w:t>aux Exigences vétérinaires</w:t>
      </w:r>
    </w:p>
    <w:p w:rsidR="007D34EA" w:rsidRPr="0083583E" w:rsidRDefault="007D34EA"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83583E">
        <w:rPr>
          <w:rFonts w:ascii="Times New Roman" w:hAnsi="Times New Roman"/>
          <w:noProof/>
          <w:sz w:val="20"/>
          <w:lang w:eastAsia="fr-FR"/>
        </w:rPr>
        <w:t>(vétérinaires et sanitaires) communes</w:t>
      </w:r>
    </w:p>
    <w:p w:rsidR="007D34EA" w:rsidRPr="0083583E" w:rsidRDefault="007D34EA"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83583E">
        <w:rPr>
          <w:rFonts w:ascii="Times New Roman" w:hAnsi="Times New Roman"/>
          <w:noProof/>
          <w:sz w:val="20"/>
          <w:lang w:eastAsia="fr-FR"/>
        </w:rPr>
        <w:t>pour les marchandises soumises au</w:t>
      </w:r>
    </w:p>
    <w:p w:rsidR="007D34EA" w:rsidRPr="0083583E" w:rsidRDefault="007D34EA" w:rsidP="00A7396A">
      <w:pPr>
        <w:widowControl w:val="0"/>
        <w:autoSpaceDE w:val="0"/>
        <w:autoSpaceDN w:val="0"/>
        <w:adjustRightInd w:val="0"/>
        <w:spacing w:after="0" w:line="240" w:lineRule="auto"/>
        <w:jc w:val="right"/>
        <w:rPr>
          <w:rFonts w:ascii="Times New Roman" w:hAnsi="Times New Roman" w:cs="Arial"/>
          <w:noProof/>
          <w:sz w:val="20"/>
          <w:lang w:eastAsia="fr-FR"/>
        </w:rPr>
      </w:pPr>
      <w:r w:rsidRPr="0083583E">
        <w:rPr>
          <w:rFonts w:ascii="Times New Roman" w:hAnsi="Times New Roman"/>
          <w:noProof/>
          <w:sz w:val="20"/>
          <w:lang w:eastAsia="fr-FR"/>
        </w:rPr>
        <w:t>contrôle (à la surveillance) vétérinaire</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MODALITÉS DE REMPLISSAGE DU PASSEPORT VÉTÉRINAIRE POUR ANIMAL</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(annexe insérée par la décision n° 307 du Collège de la Commission économique eurasienne</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r w:rsidRPr="0083583E">
        <w:rPr>
          <w:rFonts w:ascii="Times New Roman" w:hAnsi="Times New Roman"/>
          <w:noProof/>
          <w:sz w:val="20"/>
          <w:lang w:eastAsia="fr-FR"/>
        </w:rPr>
        <w:t>du 25.12.2012)</w:t>
      </w:r>
    </w:p>
    <w:p w:rsidR="007D34EA" w:rsidRPr="0083583E" w:rsidRDefault="007D34EA" w:rsidP="00A7396A">
      <w:pPr>
        <w:widowControl w:val="0"/>
        <w:autoSpaceDE w:val="0"/>
        <w:autoSpaceDN w:val="0"/>
        <w:adjustRightInd w:val="0"/>
        <w:spacing w:after="0" w:line="240" w:lineRule="auto"/>
        <w:jc w:val="center"/>
        <w:rPr>
          <w:rFonts w:ascii="Times New Roman" w:hAnsi="Times New Roman" w:cs="Arial"/>
          <w:noProof/>
          <w:sz w:val="20"/>
          <w:lang w:eastAsia="fr-FR"/>
        </w:rPr>
      </w:pP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1. Le </w:t>
      </w:r>
      <w:hyperlink w:anchor="Par4956" w:tooltip="Ссылка на текущий документ" w:history="1">
        <w:r w:rsidRPr="0083583E">
          <w:rPr>
            <w:rFonts w:ascii="Times New Roman" w:hAnsi="Times New Roman"/>
            <w:noProof/>
            <w:sz w:val="20"/>
            <w:lang w:eastAsia="fr-FR"/>
          </w:rPr>
          <w:t>passeport</w:t>
        </w:r>
      </w:hyperlink>
      <w:r w:rsidRPr="0083583E">
        <w:rPr>
          <w:rFonts w:ascii="Times New Roman" w:hAnsi="Times New Roman"/>
          <w:noProof/>
          <w:sz w:val="20"/>
          <w:lang w:eastAsia="fr-FR"/>
        </w:rPr>
        <w:t xml:space="preserve"> vétérinaire pour animal (ci-après</w:t>
      </w:r>
      <w:r>
        <w:rPr>
          <w:rFonts w:ascii="Times New Roman" w:hAnsi="Times New Roman"/>
          <w:noProof/>
          <w:sz w:val="20"/>
          <w:lang w:eastAsia="fr-FR"/>
        </w:rPr>
        <w:t> :</w:t>
      </w:r>
      <w:r w:rsidRPr="0083583E">
        <w:rPr>
          <w:rFonts w:ascii="Times New Roman" w:hAnsi="Times New Roman"/>
          <w:noProof/>
          <w:sz w:val="20"/>
          <w:lang w:eastAsia="fr-FR"/>
        </w:rPr>
        <w:t xml:space="preserve"> passeport) est un document permettant d’identifier l’animal destiné à l’usage personnel des citoyens.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2. </w:t>
      </w:r>
      <w:hyperlink w:anchor="Par4956" w:tooltip="Ссылка на текущий документ" w:history="1">
        <w:r w:rsidRPr="0083583E">
          <w:rPr>
            <w:rFonts w:ascii="Times New Roman" w:hAnsi="Times New Roman"/>
            <w:noProof/>
            <w:sz w:val="20"/>
            <w:lang w:eastAsia="fr-FR"/>
          </w:rPr>
          <w:t>Le passeport</w:t>
        </w:r>
      </w:hyperlink>
      <w:r w:rsidRPr="0083583E">
        <w:rPr>
          <w:rFonts w:ascii="Times New Roman" w:hAnsi="Times New Roman"/>
          <w:noProof/>
          <w:sz w:val="20"/>
          <w:lang w:eastAsia="fr-FR"/>
        </w:rPr>
        <w:t xml:space="preserve"> doit être fabriqué à l’aide d’un moyen typographique, comprendre 26 pages, avoir les dimensions de 15 x 10 cm.</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3. </w:t>
      </w:r>
      <w:hyperlink w:anchor="Par4956" w:tooltip="Ссылка на текущий документ" w:history="1">
        <w:r w:rsidRPr="0083583E">
          <w:rPr>
            <w:rFonts w:ascii="Times New Roman" w:hAnsi="Times New Roman"/>
            <w:noProof/>
            <w:sz w:val="20"/>
            <w:lang w:eastAsia="fr-FR"/>
          </w:rPr>
          <w:t>Le passeport</w:t>
        </w:r>
      </w:hyperlink>
      <w:r w:rsidRPr="0083583E">
        <w:rPr>
          <w:rFonts w:ascii="Times New Roman" w:hAnsi="Times New Roman"/>
          <w:noProof/>
          <w:sz w:val="20"/>
          <w:lang w:eastAsia="fr-FR"/>
        </w:rPr>
        <w:t xml:space="preserve"> est rempli pour des chiens et des chats par le vétérinaire d’un établissement public exerçant la médecine vétérinaire (ci-après</w:t>
      </w:r>
      <w:r>
        <w:rPr>
          <w:rFonts w:ascii="Times New Roman" w:hAnsi="Times New Roman"/>
          <w:noProof/>
          <w:sz w:val="20"/>
          <w:lang w:eastAsia="fr-FR"/>
        </w:rPr>
        <w:t> :</w:t>
      </w:r>
      <w:r w:rsidRPr="0083583E">
        <w:rPr>
          <w:rFonts w:ascii="Times New Roman" w:hAnsi="Times New Roman"/>
          <w:noProof/>
          <w:sz w:val="20"/>
          <w:lang w:eastAsia="fr-FR"/>
        </w:rPr>
        <w:t xml:space="preserve"> vétérinaire officiel), sauf disposition différente prévue par la législation des États membres de l’Union douanière et de l’Espace économique commun (ci-après</w:t>
      </w:r>
      <w:r>
        <w:rPr>
          <w:rFonts w:ascii="Times New Roman" w:hAnsi="Times New Roman"/>
          <w:noProof/>
          <w:sz w:val="20"/>
          <w:lang w:eastAsia="fr-FR"/>
        </w:rPr>
        <w:t> :</w:t>
      </w:r>
      <w:r w:rsidRPr="0083583E">
        <w:rPr>
          <w:rFonts w:ascii="Times New Roman" w:hAnsi="Times New Roman"/>
          <w:noProof/>
          <w:sz w:val="20"/>
          <w:lang w:eastAsia="fr-FR"/>
        </w:rPr>
        <w:t xml:space="preserve"> État membre), à l’initiative du propriétaire de l’animal.</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4. </w:t>
      </w:r>
      <w:hyperlink w:anchor="Par4956" w:tooltip="Ссылка на текущий документ" w:history="1">
        <w:r w:rsidRPr="0083583E">
          <w:rPr>
            <w:rFonts w:ascii="Times New Roman" w:hAnsi="Times New Roman"/>
            <w:noProof/>
            <w:sz w:val="20"/>
            <w:lang w:eastAsia="fr-FR"/>
          </w:rPr>
          <w:t xml:space="preserve">Le passeport </w:t>
        </w:r>
      </w:hyperlink>
      <w:r w:rsidRPr="0083583E">
        <w:rPr>
          <w:rFonts w:ascii="Times New Roman" w:hAnsi="Times New Roman"/>
          <w:noProof/>
          <w:sz w:val="20"/>
          <w:lang w:eastAsia="fr-FR"/>
        </w:rPr>
        <w:t xml:space="preserve"> est rempli en langue russe et, si nécessaire, en langue anglaise.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5. </w:t>
      </w:r>
      <w:hyperlink w:anchor="Par4956" w:tooltip="Ссылка на текущий документ" w:history="1">
        <w:r w:rsidRPr="0083583E">
          <w:rPr>
            <w:rFonts w:ascii="Times New Roman" w:hAnsi="Times New Roman"/>
            <w:noProof/>
            <w:sz w:val="20"/>
            <w:lang w:eastAsia="fr-FR"/>
          </w:rPr>
          <w:t>Le passeport</w:t>
        </w:r>
      </w:hyperlink>
      <w:r w:rsidRPr="0083583E">
        <w:rPr>
          <w:rFonts w:ascii="Times New Roman" w:hAnsi="Times New Roman"/>
          <w:noProof/>
          <w:sz w:val="20"/>
          <w:lang w:eastAsia="fr-FR"/>
        </w:rPr>
        <w:t xml:space="preserve"> est rédigé à la main, à l’encre bleue ou noire.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6. </w:t>
      </w:r>
      <w:hyperlink w:anchor="Par4956" w:tooltip="Ссылка на текущий документ" w:history="1">
        <w:r w:rsidRPr="0083583E">
          <w:rPr>
            <w:rFonts w:ascii="Times New Roman" w:hAnsi="Times New Roman"/>
            <w:noProof/>
            <w:sz w:val="20"/>
            <w:lang w:eastAsia="fr-FR"/>
          </w:rPr>
          <w:t>Le passeport</w:t>
        </w:r>
      </w:hyperlink>
      <w:r w:rsidRPr="0083583E">
        <w:rPr>
          <w:rFonts w:ascii="Times New Roman" w:hAnsi="Times New Roman"/>
          <w:noProof/>
          <w:sz w:val="20"/>
          <w:lang w:eastAsia="fr-FR"/>
        </w:rPr>
        <w:t xml:space="preserve"> ne peut être établi que pour un animal identifié qui possède une puce et (ou) un marquage (tatouage).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7. </w:t>
      </w:r>
      <w:hyperlink w:anchor="Par4956" w:tooltip="Ссылка на текущий документ" w:history="1">
        <w:r w:rsidRPr="0083583E">
          <w:rPr>
            <w:rFonts w:ascii="Times New Roman" w:hAnsi="Times New Roman"/>
            <w:noProof/>
            <w:sz w:val="20"/>
            <w:lang w:eastAsia="fr-FR"/>
          </w:rPr>
          <w:t>Le passeport</w:t>
        </w:r>
      </w:hyperlink>
      <w:r w:rsidRPr="0083583E">
        <w:rPr>
          <w:rFonts w:ascii="Times New Roman" w:hAnsi="Times New Roman"/>
          <w:noProof/>
          <w:sz w:val="20"/>
          <w:lang w:eastAsia="fr-FR"/>
        </w:rPr>
        <w:t xml:space="preserve"> peut remplacer un certificat vétérinaire.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8. </w:t>
      </w:r>
      <w:hyperlink w:anchor="Par4956" w:tooltip="Ссылка на текущий документ" w:history="1">
        <w:r w:rsidRPr="0083583E">
          <w:rPr>
            <w:rFonts w:ascii="Times New Roman" w:hAnsi="Times New Roman"/>
            <w:noProof/>
            <w:sz w:val="20"/>
            <w:lang w:eastAsia="fr-FR"/>
          </w:rPr>
          <w:t>Le passeport</w:t>
        </w:r>
      </w:hyperlink>
      <w:r w:rsidRPr="0083583E">
        <w:rPr>
          <w:rFonts w:ascii="Times New Roman" w:hAnsi="Times New Roman"/>
          <w:noProof/>
          <w:sz w:val="20"/>
          <w:lang w:eastAsia="fr-FR"/>
        </w:rPr>
        <w:t xml:space="preserve"> est valable pendant la durée de vie de l’animal.</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9. </w:t>
      </w:r>
      <w:hyperlink w:anchor="Par4956" w:tooltip="Ссылка на текущий документ" w:history="1">
        <w:r w:rsidRPr="0083583E">
          <w:rPr>
            <w:rFonts w:ascii="Times New Roman" w:hAnsi="Times New Roman"/>
            <w:noProof/>
            <w:sz w:val="20"/>
            <w:lang w:eastAsia="fr-FR"/>
          </w:rPr>
          <w:t>Le passeport</w:t>
        </w:r>
      </w:hyperlink>
      <w:r w:rsidRPr="0083583E">
        <w:rPr>
          <w:rFonts w:ascii="Times New Roman" w:hAnsi="Times New Roman"/>
          <w:noProof/>
          <w:sz w:val="20"/>
          <w:lang w:eastAsia="fr-FR"/>
        </w:rPr>
        <w:t xml:space="preserve"> peut être remplacé, si toutes ses pages sont remplies ou s’il est détérioré.</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10. En cas de remplacement du </w:t>
      </w:r>
      <w:hyperlink w:anchor="Par4956" w:tooltip="Ссылка на текущий документ" w:history="1">
        <w:r w:rsidRPr="0083583E">
          <w:rPr>
            <w:rFonts w:ascii="Times New Roman" w:hAnsi="Times New Roman"/>
            <w:noProof/>
            <w:sz w:val="20"/>
            <w:lang w:eastAsia="fr-FR"/>
          </w:rPr>
          <w:t>passeport</w:t>
        </w:r>
      </w:hyperlink>
      <w:r w:rsidRPr="0083583E">
        <w:rPr>
          <w:rFonts w:ascii="Times New Roman" w:hAnsi="Times New Roman"/>
          <w:noProof/>
          <w:sz w:val="20"/>
          <w:lang w:eastAsia="fr-FR"/>
        </w:rPr>
        <w:t>, le nouveau passeport doit contenir des informations relatives aux derniers vaccins (traitements).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11. </w:t>
      </w:r>
      <w:hyperlink w:anchor="Par4960" w:tooltip="Ссылка на текущий документ" w:history="1">
        <w:r w:rsidRPr="0083583E">
          <w:rPr>
            <w:rFonts w:ascii="Times New Roman" w:hAnsi="Times New Roman"/>
            <w:noProof/>
            <w:sz w:val="20"/>
            <w:lang w:eastAsia="fr-FR"/>
          </w:rPr>
          <w:t>Les parties I</w:t>
        </w:r>
      </w:hyperlink>
      <w:r w:rsidRPr="0083583E">
        <w:rPr>
          <w:rFonts w:ascii="Times New Roman" w:hAnsi="Times New Roman"/>
          <w:noProof/>
          <w:sz w:val="20"/>
          <w:lang w:eastAsia="fr-FR"/>
        </w:rPr>
        <w:t xml:space="preserve"> - </w:t>
      </w:r>
      <w:hyperlink w:anchor="Par5060" w:tooltip="Ссылка на текущий документ" w:history="1">
        <w:r w:rsidRPr="0083583E">
          <w:rPr>
            <w:rFonts w:ascii="Times New Roman" w:hAnsi="Times New Roman"/>
            <w:noProof/>
            <w:sz w:val="20"/>
            <w:lang w:eastAsia="fr-FR"/>
          </w:rPr>
          <w:t>III</w:t>
        </w:r>
      </w:hyperlink>
      <w:r w:rsidRPr="0083583E">
        <w:rPr>
          <w:rFonts w:ascii="Times New Roman" w:hAnsi="Times New Roman"/>
          <w:noProof/>
          <w:sz w:val="20"/>
          <w:lang w:eastAsia="fr-FR"/>
        </w:rPr>
        <w:t xml:space="preserve">, </w:t>
      </w:r>
      <w:hyperlink w:anchor="Par5139" w:tooltip="Ссылка на текущий документ" w:history="1">
        <w:r w:rsidRPr="0083583E">
          <w:rPr>
            <w:rFonts w:ascii="Times New Roman" w:hAnsi="Times New Roman"/>
            <w:noProof/>
            <w:sz w:val="20"/>
            <w:lang w:eastAsia="fr-FR"/>
          </w:rPr>
          <w:t>V</w:t>
        </w:r>
      </w:hyperlink>
      <w:r w:rsidRPr="0083583E">
        <w:rPr>
          <w:rFonts w:ascii="Times New Roman" w:hAnsi="Times New Roman"/>
          <w:noProof/>
          <w:sz w:val="20"/>
          <w:lang w:eastAsia="fr-FR"/>
        </w:rPr>
        <w:t xml:space="preserve"> - </w:t>
      </w:r>
      <w:hyperlink w:anchor="Par5252" w:tooltip="Ссылка на текущий документ" w:history="1">
        <w:r w:rsidRPr="0083583E">
          <w:rPr>
            <w:rFonts w:ascii="Times New Roman" w:hAnsi="Times New Roman"/>
            <w:noProof/>
            <w:sz w:val="20"/>
            <w:lang w:eastAsia="fr-FR"/>
          </w:rPr>
          <w:t>IX</w:t>
        </w:r>
      </w:hyperlink>
      <w:r w:rsidRPr="0083583E">
        <w:rPr>
          <w:rFonts w:ascii="Times New Roman" w:hAnsi="Times New Roman"/>
          <w:noProof/>
          <w:sz w:val="20"/>
          <w:lang w:eastAsia="fr-FR"/>
        </w:rPr>
        <w:t xml:space="preserve"> et </w:t>
      </w:r>
      <w:hyperlink w:anchor="Par5332" w:tooltip="Ссылка на текущий документ" w:history="1">
        <w:r w:rsidRPr="0083583E">
          <w:rPr>
            <w:rFonts w:ascii="Times New Roman" w:hAnsi="Times New Roman"/>
            <w:noProof/>
            <w:sz w:val="20"/>
            <w:lang w:eastAsia="fr-FR"/>
          </w:rPr>
          <w:t>XII</w:t>
        </w:r>
      </w:hyperlink>
      <w:r w:rsidRPr="0083583E">
        <w:rPr>
          <w:rFonts w:ascii="Times New Roman" w:hAnsi="Times New Roman"/>
          <w:noProof/>
          <w:sz w:val="20"/>
          <w:lang w:eastAsia="fr-FR"/>
        </w:rPr>
        <w:t xml:space="preserve"> doivent être remplies par le vétérinaire qui a procédé à l’examen de l’animal, lui a administré des vaccins, des traitements, etc. La partie IV doit être remplie par le vétérinaire compétent pour l’administration du vaccin contre la rage, accrédité par l’autorité compétente de l’État membre concerné. La partie X doit être remplie par la personne compétente, à savoir le vétérinaire officiel.</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12. </w:t>
      </w:r>
      <w:hyperlink w:anchor="Par4960" w:tooltip="Ссылка на текущий документ" w:history="1">
        <w:r w:rsidRPr="0083583E">
          <w:rPr>
            <w:rFonts w:ascii="Times New Roman" w:hAnsi="Times New Roman"/>
            <w:noProof/>
            <w:sz w:val="20"/>
            <w:lang w:eastAsia="fr-FR"/>
          </w:rPr>
          <w:t>La partie I</w:t>
        </w:r>
      </w:hyperlink>
      <w:r w:rsidRPr="0083583E">
        <w:rPr>
          <w:rFonts w:ascii="Times New Roman" w:hAnsi="Times New Roman"/>
          <w:noProof/>
          <w:sz w:val="20"/>
          <w:lang w:eastAsia="fr-FR"/>
        </w:rPr>
        <w:t xml:space="preserve"> comprend 1 page. Elle est prévue pour 3 mentions relatives aux propriétaires de l’animal, en cas de changement de propriétaire. Les informations sont fournies par le propriétaire de l’animal.</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13. </w:t>
      </w:r>
      <w:hyperlink w:anchor="Par5024" w:tooltip="Ссылка на текущий документ" w:history="1">
        <w:r w:rsidRPr="0083583E">
          <w:rPr>
            <w:rFonts w:ascii="Times New Roman" w:hAnsi="Times New Roman"/>
            <w:noProof/>
            <w:sz w:val="20"/>
            <w:lang w:eastAsia="fr-FR"/>
          </w:rPr>
          <w:t>La partie II</w:t>
        </w:r>
      </w:hyperlink>
      <w:r w:rsidRPr="0083583E">
        <w:rPr>
          <w:rFonts w:ascii="Times New Roman" w:hAnsi="Times New Roman"/>
          <w:noProof/>
          <w:sz w:val="20"/>
          <w:lang w:eastAsia="fr-FR"/>
        </w:rPr>
        <w:t xml:space="preserve"> comprend 1 page. Les colonnes sont remplies en langue russe et en langue anglaise. La colonne « Photo de l’animal » est prévue pour y coller la photographie de couleur disponible de 5,5 x 8 cm maximum. Dans la colonne « Poils », il convient d’indiquer la couleur et la caractéristique des poils de l’animal (à poils longs, à poils moyens, à poils lisses).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14. </w:t>
      </w:r>
      <w:hyperlink w:anchor="Par5060" w:tooltip="Ссылка на текущий документ" w:history="1">
        <w:r w:rsidRPr="0083583E">
          <w:rPr>
            <w:rFonts w:ascii="Times New Roman" w:hAnsi="Times New Roman"/>
            <w:noProof/>
            <w:sz w:val="20"/>
            <w:lang w:eastAsia="fr-FR"/>
          </w:rPr>
          <w:t>La partie III</w:t>
        </w:r>
      </w:hyperlink>
      <w:r w:rsidRPr="0083583E">
        <w:rPr>
          <w:rFonts w:ascii="Times New Roman" w:hAnsi="Times New Roman"/>
          <w:noProof/>
          <w:sz w:val="20"/>
          <w:lang w:eastAsia="fr-FR"/>
        </w:rPr>
        <w:t xml:space="preserve"> comprend 1 page. Dans la colonne « Marques particulières », il convient d’indiquer les marques particulières apparentes (présence d’ergots, oreilles déchirées, présence de taches de naissance et (ou) de rayures de différentes tailles et de différentes formes qui ne sont pas caractéristiques pour la race de l’animal, etc.).</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15. </w:t>
      </w:r>
      <w:hyperlink w:anchor="Par5102" w:tooltip="Ссылка на текущий документ" w:history="1">
        <w:r w:rsidRPr="0083583E">
          <w:rPr>
            <w:rFonts w:ascii="Times New Roman" w:hAnsi="Times New Roman"/>
            <w:noProof/>
            <w:sz w:val="20"/>
            <w:lang w:eastAsia="fr-FR"/>
          </w:rPr>
          <w:t>La partie IV</w:t>
        </w:r>
      </w:hyperlink>
      <w:r w:rsidRPr="0083583E">
        <w:rPr>
          <w:rFonts w:ascii="Times New Roman" w:hAnsi="Times New Roman"/>
          <w:noProof/>
          <w:sz w:val="20"/>
          <w:lang w:eastAsia="fr-FR"/>
        </w:rPr>
        <w:t xml:space="preserve"> comprend 4 pages. Elle est prévue pour des renseignements relatifs aux vaccinations obligatoires contre la rage administrées conformément au chapitre 15 des Exigences vétérinaires (vétérinaires et sanitaires) communes pour les marchandises soumises au contrôle (à la surveillance) vétérinaire, approuvées par la décision n° 317 de la Commission de l’Union douanière du 18 juin 2010 . La mention relative au vaccin administré est apposée à la main, ou une étiquette spéciale prévue par le fabricant est collée. Le vaccin doit être inscrit au Registre des médicaments enregistrés destinés à des fins vétérinaires, des systèmes de diagnostic, des moyens de traitement antiparasitaire pour animaux (ci-après</w:t>
      </w:r>
      <w:r>
        <w:rPr>
          <w:rFonts w:ascii="Times New Roman" w:hAnsi="Times New Roman"/>
          <w:noProof/>
          <w:sz w:val="20"/>
          <w:lang w:eastAsia="fr-FR"/>
        </w:rPr>
        <w:t> :</w:t>
      </w:r>
      <w:r w:rsidRPr="0083583E">
        <w:rPr>
          <w:rFonts w:ascii="Times New Roman" w:hAnsi="Times New Roman"/>
          <w:noProof/>
          <w:sz w:val="20"/>
          <w:lang w:eastAsia="fr-FR"/>
        </w:rPr>
        <w:t xml:space="preserve"> Registre).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16. </w:t>
      </w:r>
      <w:hyperlink w:anchor="Par5139" w:tooltip="Ссылка на текущий документ" w:history="1">
        <w:r w:rsidRPr="0083583E">
          <w:rPr>
            <w:rFonts w:ascii="Times New Roman" w:hAnsi="Times New Roman"/>
            <w:noProof/>
            <w:sz w:val="20"/>
            <w:lang w:eastAsia="fr-FR"/>
          </w:rPr>
          <w:t>La partie V</w:t>
        </w:r>
      </w:hyperlink>
      <w:r w:rsidRPr="0083583E">
        <w:rPr>
          <w:rFonts w:ascii="Times New Roman" w:hAnsi="Times New Roman"/>
          <w:noProof/>
          <w:sz w:val="20"/>
          <w:lang w:eastAsia="fr-FR"/>
        </w:rPr>
        <w:t xml:space="preserve"> comprend 2 pages. Elle doit être remplie à la demande de l’État d’importation de l’animal.</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17. </w:t>
      </w:r>
      <w:hyperlink w:anchor="Par5165" w:tooltip="Ссылка на текущий документ" w:history="1">
        <w:r w:rsidRPr="0083583E">
          <w:rPr>
            <w:rFonts w:ascii="Times New Roman" w:hAnsi="Times New Roman"/>
            <w:noProof/>
            <w:sz w:val="20"/>
            <w:lang w:eastAsia="fr-FR"/>
          </w:rPr>
          <w:t>La partie VI</w:t>
        </w:r>
      </w:hyperlink>
      <w:r w:rsidRPr="0083583E">
        <w:rPr>
          <w:rFonts w:ascii="Times New Roman" w:hAnsi="Times New Roman"/>
          <w:noProof/>
          <w:sz w:val="20"/>
          <w:lang w:eastAsia="fr-FR"/>
        </w:rPr>
        <w:t xml:space="preserve"> comprend 2 pages. La colonne « Nom du médicament et fabricant » doit contenir les informations relatives au médicament administré pour le traitement antiparasitaire de l’animal. La mention est apposée à la main, ou une étiquette spéciale prévue par le fabricant est collée. Le médicament doit être inscrit au Registre.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18. </w:t>
      </w:r>
      <w:hyperlink w:anchor="Par5190" w:tooltip="Ссылка на текущий документ" w:history="1">
        <w:r w:rsidRPr="0083583E">
          <w:rPr>
            <w:rFonts w:ascii="Times New Roman" w:hAnsi="Times New Roman"/>
            <w:noProof/>
            <w:sz w:val="20"/>
            <w:lang w:eastAsia="fr-FR"/>
          </w:rPr>
          <w:t>La partie VII</w:t>
        </w:r>
      </w:hyperlink>
      <w:r w:rsidRPr="0083583E">
        <w:rPr>
          <w:rFonts w:ascii="Times New Roman" w:hAnsi="Times New Roman"/>
          <w:noProof/>
          <w:sz w:val="20"/>
          <w:lang w:eastAsia="fr-FR"/>
        </w:rPr>
        <w:t xml:space="preserve"> comprend 2 pages. La colonne « Nom du médicament et fabricant » doit contenir les informations relatives au médicament administré pour le traitement antiparasitaire de l’animal. La mention est apposée à la main, ou une étiquette spéciale prévue par le fabricant est collée. Le médicament doit être inscrit au Registre.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19. </w:t>
      </w:r>
      <w:hyperlink w:anchor="Par5215" w:tooltip="Ссылка на текущий документ" w:history="1">
        <w:r w:rsidRPr="0083583E">
          <w:rPr>
            <w:rFonts w:ascii="Times New Roman" w:hAnsi="Times New Roman"/>
            <w:noProof/>
            <w:sz w:val="20"/>
            <w:lang w:eastAsia="fr-FR"/>
          </w:rPr>
          <w:t>La partie VIII</w:t>
        </w:r>
      </w:hyperlink>
      <w:r w:rsidRPr="0083583E">
        <w:rPr>
          <w:rFonts w:ascii="Times New Roman" w:hAnsi="Times New Roman"/>
          <w:noProof/>
          <w:sz w:val="20"/>
          <w:lang w:eastAsia="fr-FR"/>
        </w:rPr>
        <w:t xml:space="preserve"> comprend 4 pages. Elle est prévue pour des renseignements relatifs aux vaccinations administrées conformément au </w:t>
      </w:r>
      <w:hyperlink w:anchor="Par2203" w:tooltip="Ссылка на текущий документ" w:history="1">
        <w:r w:rsidRPr="0083583E">
          <w:rPr>
            <w:rFonts w:ascii="Times New Roman" w:hAnsi="Times New Roman"/>
            <w:noProof/>
            <w:sz w:val="20"/>
            <w:lang w:eastAsia="fr-FR"/>
          </w:rPr>
          <w:t>chapitre 15</w:t>
        </w:r>
      </w:hyperlink>
      <w:r w:rsidRPr="0083583E">
        <w:rPr>
          <w:rFonts w:ascii="Times New Roman" w:hAnsi="Times New Roman"/>
          <w:noProof/>
          <w:sz w:val="20"/>
          <w:lang w:eastAsia="fr-FR"/>
        </w:rPr>
        <w:t xml:space="preserve"> des Exigences vétérinaires (vétérinaires et sanitaires) communes pour les marchandises soumises au contrôle (à la surveillance) vétérinaire, approuvées par la décision n° 317 de la Commission de l’Union douanière du 18 juin 2010, à l’initiative du propriétaire. La mention relative au vaccin administré est apposée à la main, ou une étiquette spéciale prévue par le fabricant est collée. Le médicament doit être inscrit au Registre.</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20. </w:t>
      </w:r>
      <w:hyperlink w:anchor="Par5252" w:tooltip="Ссылка на текущий документ" w:history="1">
        <w:r w:rsidRPr="0083583E">
          <w:rPr>
            <w:rFonts w:ascii="Times New Roman" w:hAnsi="Times New Roman"/>
            <w:noProof/>
            <w:sz w:val="20"/>
            <w:lang w:eastAsia="fr-FR"/>
          </w:rPr>
          <w:t>La partie IX</w:t>
        </w:r>
      </w:hyperlink>
      <w:r w:rsidRPr="0083583E">
        <w:rPr>
          <w:rFonts w:ascii="Times New Roman" w:hAnsi="Times New Roman"/>
          <w:noProof/>
          <w:sz w:val="20"/>
          <w:lang w:eastAsia="fr-FR"/>
        </w:rPr>
        <w:t xml:space="preserve"> comprend 3 pages. Dans la colonne « L’animal est cliniquement en bonne santé et peut être transporté jusqu’au point de destination », il convient d’indiquer des renseignements relatifs au poin (aux points) de destination de l’animal. La mention est apposée suite à un examen clinique de l’animal (apparence, muqueuses, ganglions lymphatiques, température du corps).</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21. </w:t>
      </w:r>
      <w:hyperlink w:anchor="Par5283" w:tooltip="Ссылка на текущий документ" w:history="1">
        <w:r w:rsidRPr="0083583E">
          <w:rPr>
            <w:rFonts w:ascii="Times New Roman" w:hAnsi="Times New Roman"/>
            <w:noProof/>
            <w:sz w:val="20"/>
            <w:lang w:eastAsia="fr-FR"/>
          </w:rPr>
          <w:t>La partie X</w:t>
        </w:r>
      </w:hyperlink>
      <w:r w:rsidRPr="0083583E">
        <w:rPr>
          <w:rFonts w:ascii="Times New Roman" w:hAnsi="Times New Roman"/>
          <w:noProof/>
          <w:sz w:val="20"/>
          <w:lang w:eastAsia="fr-FR"/>
        </w:rPr>
        <w:t xml:space="preserve"> comprend 3 pages. Le vétérinaire officiel doit y apposer une mention confirmant qu’il a procédé au contrôle vétérinaire pendant le transport.</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22. </w:t>
      </w:r>
      <w:hyperlink w:anchor="Par5314" w:tooltip="Ссылка на текущий документ" w:history="1">
        <w:r w:rsidRPr="0083583E">
          <w:rPr>
            <w:rFonts w:ascii="Times New Roman" w:hAnsi="Times New Roman"/>
            <w:noProof/>
            <w:sz w:val="20"/>
            <w:lang w:eastAsia="fr-FR"/>
          </w:rPr>
          <w:t>La partie XI</w:t>
        </w:r>
      </w:hyperlink>
      <w:r w:rsidRPr="0083583E">
        <w:rPr>
          <w:rFonts w:ascii="Times New Roman" w:hAnsi="Times New Roman"/>
          <w:noProof/>
          <w:sz w:val="20"/>
          <w:lang w:eastAsia="fr-FR"/>
        </w:rPr>
        <w:t xml:space="preserve"> comprend 1 page. Elle est prévue pour des renseignements relatifs aux analyses du sérum sanguin des chats pour la détection du virus de la leucémie féline (FeLV) et la présence des anticorps neutralisant le virus de l’immunodéficience féline (FIV). Elle doit être remplie à la demande de l’État d’importation de l’animal.</w:t>
      </w:r>
    </w:p>
    <w:p w:rsidR="007D34EA" w:rsidRPr="0083583E" w:rsidRDefault="007D34EA" w:rsidP="00A7396A">
      <w:pPr>
        <w:widowControl w:val="0"/>
        <w:autoSpaceDE w:val="0"/>
        <w:autoSpaceDN w:val="0"/>
        <w:adjustRightInd w:val="0"/>
        <w:spacing w:after="0" w:line="240" w:lineRule="auto"/>
        <w:jc w:val="both"/>
        <w:rPr>
          <w:rFonts w:ascii="Times New Roman" w:hAnsi="Times New Roman" w:cs="Arial"/>
          <w:noProof/>
          <w:sz w:val="20"/>
          <w:lang w:eastAsia="fr-FR"/>
        </w:rPr>
      </w:pPr>
      <w:r w:rsidRPr="0083583E">
        <w:rPr>
          <w:rFonts w:ascii="Times New Roman" w:hAnsi="Times New Roman"/>
          <w:noProof/>
          <w:sz w:val="20"/>
          <w:lang w:eastAsia="fr-FR"/>
        </w:rPr>
        <w:t xml:space="preserve">23. </w:t>
      </w:r>
      <w:hyperlink w:anchor="Par5332" w:tooltip="Ссылка на текущий документ" w:history="1">
        <w:r w:rsidRPr="0083583E">
          <w:rPr>
            <w:rFonts w:ascii="Times New Roman" w:hAnsi="Times New Roman"/>
            <w:noProof/>
            <w:sz w:val="20"/>
            <w:lang w:eastAsia="fr-FR"/>
          </w:rPr>
          <w:t>La partie XII</w:t>
        </w:r>
      </w:hyperlink>
      <w:r w:rsidRPr="0083583E">
        <w:rPr>
          <w:rFonts w:ascii="Times New Roman" w:hAnsi="Times New Roman"/>
          <w:noProof/>
          <w:sz w:val="20"/>
          <w:lang w:eastAsia="fr-FR"/>
        </w:rPr>
        <w:t xml:space="preserve"> comprend 2 pages. Elle est prévue pour des renseignements complémentaires relatifs à l’identification de l’animal.</w:t>
      </w:r>
    </w:p>
    <w:p w:rsidR="007D34EA" w:rsidRPr="0083583E" w:rsidRDefault="007D34EA">
      <w:pPr>
        <w:rPr>
          <w:rFonts w:ascii="Times New Roman" w:hAnsi="Times New Roman"/>
          <w:noProof/>
        </w:rPr>
      </w:pPr>
    </w:p>
    <w:sectPr w:rsidR="007D34EA" w:rsidRPr="0083583E" w:rsidSect="007F4AB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4EA" w:rsidRDefault="007D34EA" w:rsidP="00F70715">
      <w:pPr>
        <w:spacing w:after="0" w:line="240" w:lineRule="auto"/>
      </w:pPr>
      <w:r>
        <w:separator/>
      </w:r>
    </w:p>
  </w:endnote>
  <w:endnote w:type="continuationSeparator" w:id="0">
    <w:p w:rsidR="007D34EA" w:rsidRDefault="007D34EA" w:rsidP="00F70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lonna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4EA" w:rsidRDefault="007D34EA">
    <w:pPr>
      <w:widowControl w:val="0"/>
      <w:autoSpaceDE w:val="0"/>
      <w:autoSpaceDN w:val="0"/>
      <w:adjustRightInd w:val="0"/>
      <w:spacing w:after="0" w:line="240" w:lineRule="auto"/>
      <w:rPr>
        <w:rFonts w:ascii="Times New Roman" w:hAnsi="Times New Roman"/>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4EA" w:rsidRDefault="007D34EA">
    <w:pPr>
      <w:widowControl w:val="0"/>
      <w:autoSpaceDE w:val="0"/>
      <w:autoSpaceDN w:val="0"/>
      <w:adjustRightInd w:val="0"/>
      <w:spacing w:after="0" w:line="240" w:lineRule="auto"/>
      <w:rPr>
        <w:rFonts w:ascii="Times New Roman" w:hAnsi="Times New Roman"/>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4EA" w:rsidRDefault="007D34EA" w:rsidP="00F70715">
      <w:pPr>
        <w:spacing w:after="0" w:line="240" w:lineRule="auto"/>
      </w:pPr>
      <w:r>
        <w:separator/>
      </w:r>
    </w:p>
  </w:footnote>
  <w:footnote w:type="continuationSeparator" w:id="0">
    <w:p w:rsidR="007D34EA" w:rsidRDefault="007D34EA" w:rsidP="00F707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4EA" w:rsidRPr="00A7396A" w:rsidRDefault="007D34EA" w:rsidP="00A7396A">
    <w:pPr>
      <w:pStyle w:val="En-tt"/>
    </w:pPr>
    <w:r w:rsidRPr="00A7396A">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4EA" w:rsidRPr="001B2FDC" w:rsidRDefault="007D34EA">
    <w:pPr>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7DF"/>
    <w:rsid w:val="00016C31"/>
    <w:rsid w:val="001372F9"/>
    <w:rsid w:val="001A78D2"/>
    <w:rsid w:val="001B2FDC"/>
    <w:rsid w:val="001D3098"/>
    <w:rsid w:val="00250F01"/>
    <w:rsid w:val="00254214"/>
    <w:rsid w:val="002C17BC"/>
    <w:rsid w:val="003055B0"/>
    <w:rsid w:val="004229BF"/>
    <w:rsid w:val="004947DF"/>
    <w:rsid w:val="0054055A"/>
    <w:rsid w:val="005B46A2"/>
    <w:rsid w:val="006E0431"/>
    <w:rsid w:val="007D34EA"/>
    <w:rsid w:val="007F4AB0"/>
    <w:rsid w:val="007F519C"/>
    <w:rsid w:val="0083583E"/>
    <w:rsid w:val="008D523F"/>
    <w:rsid w:val="00902855"/>
    <w:rsid w:val="00A22582"/>
    <w:rsid w:val="00A7396A"/>
    <w:rsid w:val="00BE35FD"/>
    <w:rsid w:val="00BF4951"/>
    <w:rsid w:val="00C5790F"/>
    <w:rsid w:val="00D00738"/>
    <w:rsid w:val="00D17172"/>
    <w:rsid w:val="00D20939"/>
    <w:rsid w:val="00D67506"/>
    <w:rsid w:val="00F072BE"/>
    <w:rsid w:val="00F70715"/>
    <w:rsid w:val="00F814E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E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auNorm">
    <w:name w:val="Tableau Norm"/>
    <w:uiPriority w:val="99"/>
    <w:semiHidden/>
    <w:rsid w:val="001372F9"/>
    <w:rPr>
      <w:sz w:val="20"/>
      <w:szCs w:val="20"/>
      <w:lang w:eastAsia="en-US"/>
    </w:rPr>
    <w:tblPr>
      <w:tblInd w:w="0" w:type="dxa"/>
      <w:tblCellMar>
        <w:top w:w="0" w:type="dxa"/>
        <w:left w:w="108" w:type="dxa"/>
        <w:bottom w:w="0" w:type="dxa"/>
        <w:right w:w="108" w:type="dxa"/>
      </w:tblCellMar>
    </w:tblPr>
  </w:style>
  <w:style w:type="table" w:customStyle="1" w:styleId="TableauNorm6">
    <w:name w:val="Tableau Norm6"/>
    <w:uiPriority w:val="99"/>
    <w:semiHidden/>
    <w:rsid w:val="00D20939"/>
    <w:rPr>
      <w:sz w:val="20"/>
      <w:szCs w:val="20"/>
      <w:lang w:eastAsia="en-US"/>
    </w:rPr>
    <w:tblPr>
      <w:tblInd w:w="0" w:type="dxa"/>
      <w:tblCellMar>
        <w:top w:w="0" w:type="dxa"/>
        <w:left w:w="108" w:type="dxa"/>
        <w:bottom w:w="0" w:type="dxa"/>
        <w:right w:w="108" w:type="dxa"/>
      </w:tblCellMar>
    </w:tblPr>
  </w:style>
  <w:style w:type="table" w:customStyle="1" w:styleId="TableauNorm5">
    <w:name w:val="Tableau Norm5"/>
    <w:uiPriority w:val="99"/>
    <w:semiHidden/>
    <w:rsid w:val="0054055A"/>
    <w:rPr>
      <w:sz w:val="20"/>
      <w:szCs w:val="20"/>
      <w:lang w:eastAsia="en-US"/>
    </w:rPr>
    <w:tblPr>
      <w:tblInd w:w="0" w:type="dxa"/>
      <w:tblCellMar>
        <w:top w:w="0" w:type="dxa"/>
        <w:left w:w="108" w:type="dxa"/>
        <w:bottom w:w="0" w:type="dxa"/>
        <w:right w:w="108" w:type="dxa"/>
      </w:tblCellMar>
    </w:tblPr>
  </w:style>
  <w:style w:type="table" w:customStyle="1" w:styleId="TableauNorm4">
    <w:name w:val="Tableau Norm4"/>
    <w:uiPriority w:val="99"/>
    <w:semiHidden/>
    <w:rsid w:val="00C5790F"/>
    <w:rPr>
      <w:sz w:val="20"/>
      <w:szCs w:val="20"/>
      <w:lang w:eastAsia="en-US"/>
    </w:rPr>
    <w:tblPr>
      <w:tblInd w:w="0" w:type="dxa"/>
      <w:tblCellMar>
        <w:top w:w="0" w:type="dxa"/>
        <w:left w:w="108" w:type="dxa"/>
        <w:bottom w:w="0" w:type="dxa"/>
        <w:right w:w="108" w:type="dxa"/>
      </w:tblCellMar>
    </w:tblPr>
  </w:style>
  <w:style w:type="table" w:customStyle="1" w:styleId="TableauNorm3">
    <w:name w:val="Tableau Norm3"/>
    <w:uiPriority w:val="99"/>
    <w:semiHidden/>
    <w:rsid w:val="00BE35FD"/>
    <w:rPr>
      <w:sz w:val="20"/>
      <w:szCs w:val="20"/>
      <w:lang w:eastAsia="en-US"/>
    </w:rPr>
    <w:tblPr>
      <w:tblInd w:w="0" w:type="dxa"/>
      <w:tblCellMar>
        <w:top w:w="0" w:type="dxa"/>
        <w:left w:w="108" w:type="dxa"/>
        <w:bottom w:w="0" w:type="dxa"/>
        <w:right w:w="108" w:type="dxa"/>
      </w:tblCellMar>
    </w:tblPr>
  </w:style>
  <w:style w:type="table" w:customStyle="1" w:styleId="TableauNorm2">
    <w:name w:val="Tableau Norm2"/>
    <w:uiPriority w:val="99"/>
    <w:semiHidden/>
    <w:rsid w:val="00F814E4"/>
    <w:rPr>
      <w:sz w:val="20"/>
      <w:szCs w:val="20"/>
      <w:lang w:eastAsia="en-US"/>
    </w:rPr>
    <w:tblPr>
      <w:tblInd w:w="0" w:type="dxa"/>
      <w:tblCellMar>
        <w:top w:w="0" w:type="dxa"/>
        <w:left w:w="108" w:type="dxa"/>
        <w:bottom w:w="0" w:type="dxa"/>
        <w:right w:w="108" w:type="dxa"/>
      </w:tblCellMar>
    </w:tblPr>
  </w:style>
  <w:style w:type="table" w:customStyle="1" w:styleId="TableauNorm1">
    <w:name w:val="Tableau Norm1"/>
    <w:uiPriority w:val="99"/>
    <w:semiHidden/>
    <w:rsid w:val="004947DF"/>
    <w:rPr>
      <w:sz w:val="20"/>
      <w:szCs w:val="20"/>
      <w:lang w:eastAsia="en-US"/>
    </w:rPr>
    <w:tblPr>
      <w:tblInd w:w="0" w:type="dxa"/>
      <w:tblCellMar>
        <w:top w:w="0" w:type="dxa"/>
        <w:left w:w="108" w:type="dxa"/>
        <w:bottom w:w="0" w:type="dxa"/>
        <w:right w:w="108" w:type="dxa"/>
      </w:tblCellMar>
    </w:tblPr>
  </w:style>
  <w:style w:type="paragraph" w:customStyle="1" w:styleId="ConsPlusNormal">
    <w:name w:val="ConsPlusNormal"/>
    <w:uiPriority w:val="99"/>
    <w:rsid w:val="00F814E4"/>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F814E4"/>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F814E4"/>
    <w:pPr>
      <w:widowControl w:val="0"/>
      <w:autoSpaceDE w:val="0"/>
      <w:autoSpaceDN w:val="0"/>
      <w:adjustRightInd w:val="0"/>
    </w:pPr>
    <w:rPr>
      <w:rFonts w:ascii="Arial" w:eastAsia="Times New Roman" w:hAnsi="Arial" w:cs="Arial"/>
      <w:b/>
      <w:bCs/>
      <w:sz w:val="16"/>
      <w:szCs w:val="16"/>
    </w:rPr>
  </w:style>
  <w:style w:type="paragraph" w:customStyle="1" w:styleId="ConsPlusCell">
    <w:name w:val="ConsPlusCell"/>
    <w:uiPriority w:val="99"/>
    <w:rsid w:val="00F814E4"/>
    <w:pPr>
      <w:widowControl w:val="0"/>
      <w:autoSpaceDE w:val="0"/>
      <w:autoSpaceDN w:val="0"/>
      <w:adjustRightInd w:val="0"/>
    </w:pPr>
    <w:rPr>
      <w:rFonts w:ascii="Arial" w:eastAsia="Times New Roman" w:hAnsi="Arial" w:cs="Arial"/>
      <w:sz w:val="20"/>
      <w:szCs w:val="20"/>
    </w:rPr>
  </w:style>
  <w:style w:type="paragraph" w:customStyle="1" w:styleId="En-tt">
    <w:name w:val="En-têt"/>
    <w:basedOn w:val="Normal"/>
    <w:uiPriority w:val="99"/>
    <w:rsid w:val="00F814E4"/>
    <w:pPr>
      <w:tabs>
        <w:tab w:val="center" w:pos="4536"/>
        <w:tab w:val="right" w:pos="9072"/>
      </w:tabs>
    </w:pPr>
    <w:rPr>
      <w:rFonts w:eastAsia="Times New Roman"/>
      <w:lang w:eastAsia="fr-FR"/>
    </w:rPr>
  </w:style>
  <w:style w:type="character" w:customStyle="1" w:styleId="HeaderChar">
    <w:name w:val="Header Char"/>
    <w:uiPriority w:val="99"/>
    <w:rsid w:val="00F814E4"/>
    <w:rPr>
      <w:rFonts w:eastAsia="Times New Roman"/>
      <w:lang w:eastAsia="fr-FR"/>
    </w:rPr>
  </w:style>
  <w:style w:type="paragraph" w:customStyle="1" w:styleId="Piedd">
    <w:name w:val="Pied d"/>
    <w:basedOn w:val="Normal"/>
    <w:uiPriority w:val="99"/>
    <w:rsid w:val="00F814E4"/>
    <w:pPr>
      <w:tabs>
        <w:tab w:val="center" w:pos="4536"/>
        <w:tab w:val="right" w:pos="9072"/>
      </w:tabs>
    </w:pPr>
    <w:rPr>
      <w:rFonts w:eastAsia="Times New Roman"/>
      <w:lang w:eastAsia="fr-FR"/>
    </w:rPr>
  </w:style>
  <w:style w:type="character" w:customStyle="1" w:styleId="FooterChar">
    <w:name w:val="Footer Char"/>
    <w:uiPriority w:val="99"/>
    <w:rsid w:val="00F814E4"/>
    <w:rPr>
      <w:rFonts w:eastAsia="Times New Roman"/>
      <w:lang w:eastAsia="fr-FR"/>
    </w:rPr>
  </w:style>
  <w:style w:type="table" w:styleId="TableGrid">
    <w:name w:val="Table Grid"/>
    <w:basedOn w:val="TableauNorm2"/>
    <w:uiPriority w:val="99"/>
    <w:rsid w:val="00F814E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D523F"/>
    <w:rPr>
      <w:rFonts w:ascii="Lucida Grande" w:hAnsi="Lucida Grande"/>
      <w:sz w:val="18"/>
      <w:szCs w:val="18"/>
      <w:lang w:eastAsia="fr-FR"/>
    </w:rPr>
  </w:style>
  <w:style w:type="character" w:customStyle="1" w:styleId="BalloonTextChar">
    <w:name w:val="Balloon Text Char"/>
    <w:basedOn w:val="DefaultParagraphFont"/>
    <w:link w:val="BalloonText"/>
    <w:uiPriority w:val="99"/>
    <w:semiHidden/>
    <w:locked/>
    <w:rPr>
      <w:rFonts w:ascii="Lucida Grande" w:hAnsi="Lucida Grande"/>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101</Pages>
  <Words>-32766</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Approuvées</dc:title>
  <dc:subject/>
  <dc:creator>KRIVOSHEEVA Inna</dc:creator>
  <cp:keywords/>
  <dc:description/>
  <cp:lastModifiedBy>PRONESTI Marielle</cp:lastModifiedBy>
  <cp:revision>2</cp:revision>
  <dcterms:created xsi:type="dcterms:W3CDTF">2014-08-08T08:46:00Z</dcterms:created>
  <dcterms:modified xsi:type="dcterms:W3CDTF">2014-08-08T08:46:00Z</dcterms:modified>
</cp:coreProperties>
</file>