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6BA" w:rsidRPr="00F94E0E" w:rsidRDefault="008106BA" w:rsidP="00F94E0E">
      <w:pPr>
        <w:widowControl w:val="0"/>
        <w:autoSpaceDE w:val="0"/>
        <w:autoSpaceDN w:val="0"/>
        <w:adjustRightInd w:val="0"/>
        <w:spacing w:after="0" w:line="240" w:lineRule="auto"/>
        <w:jc w:val="right"/>
        <w:outlineLvl w:val="0"/>
        <w:rPr>
          <w:rFonts w:ascii="Arial" w:hAnsi="Arial" w:cs="Arial"/>
          <w:sz w:val="20"/>
          <w:lang w:val="ru-RU" w:eastAsia="fr-FR"/>
        </w:rPr>
      </w:pPr>
      <w:r w:rsidRPr="00F94E0E">
        <w:rPr>
          <w:rFonts w:ascii="Times New Roman" w:hAnsi="Times New Roman"/>
          <w:sz w:val="20"/>
          <w:lang w:eastAsia="fr-FR"/>
        </w:rPr>
        <w:t>Approuvée</w:t>
      </w:r>
    </w:p>
    <w:p w:rsidR="008106BA" w:rsidRPr="00F94E0E" w:rsidRDefault="008106BA" w:rsidP="00F94E0E">
      <w:pPr>
        <w:widowControl w:val="0"/>
        <w:autoSpaceDE w:val="0"/>
        <w:autoSpaceDN w:val="0"/>
        <w:adjustRightInd w:val="0"/>
        <w:spacing w:after="0" w:line="240" w:lineRule="auto"/>
        <w:jc w:val="right"/>
        <w:rPr>
          <w:rFonts w:ascii="Arial" w:hAnsi="Arial" w:cs="Arial"/>
          <w:sz w:val="20"/>
          <w:lang w:val="ru-RU" w:eastAsia="fr-FR"/>
        </w:rPr>
      </w:pPr>
      <w:r w:rsidRPr="00F94E0E">
        <w:rPr>
          <w:rFonts w:ascii="Times New Roman" w:hAnsi="Times New Roman"/>
          <w:sz w:val="20"/>
          <w:lang w:eastAsia="fr-FR"/>
        </w:rPr>
        <w:t>par décision n° 317 de la Commission</w:t>
      </w:r>
    </w:p>
    <w:p w:rsidR="008106BA" w:rsidRPr="00F94E0E" w:rsidRDefault="008106BA" w:rsidP="00F94E0E">
      <w:pPr>
        <w:widowControl w:val="0"/>
        <w:autoSpaceDE w:val="0"/>
        <w:autoSpaceDN w:val="0"/>
        <w:adjustRightInd w:val="0"/>
        <w:spacing w:after="0" w:line="240" w:lineRule="auto"/>
        <w:jc w:val="right"/>
        <w:rPr>
          <w:rFonts w:ascii="Arial" w:hAnsi="Arial" w:cs="Arial"/>
          <w:sz w:val="20"/>
          <w:lang w:val="ru-RU" w:eastAsia="fr-FR"/>
        </w:rPr>
      </w:pPr>
      <w:r w:rsidRPr="00F94E0E">
        <w:rPr>
          <w:rFonts w:ascii="Times New Roman" w:hAnsi="Times New Roman"/>
          <w:sz w:val="20"/>
          <w:lang w:eastAsia="fr-FR"/>
        </w:rPr>
        <w:t>de l’Union douanière</w:t>
      </w:r>
    </w:p>
    <w:p w:rsidR="008106BA" w:rsidRPr="00F94E0E" w:rsidRDefault="008106BA" w:rsidP="00F94E0E">
      <w:pPr>
        <w:widowControl w:val="0"/>
        <w:autoSpaceDE w:val="0"/>
        <w:autoSpaceDN w:val="0"/>
        <w:adjustRightInd w:val="0"/>
        <w:spacing w:after="0" w:line="240" w:lineRule="auto"/>
        <w:jc w:val="right"/>
        <w:rPr>
          <w:rFonts w:ascii="Arial" w:hAnsi="Arial" w:cs="Arial"/>
          <w:sz w:val="20"/>
          <w:lang w:val="ru-RU" w:eastAsia="fr-FR"/>
        </w:rPr>
      </w:pPr>
      <w:r w:rsidRPr="00F94E0E">
        <w:rPr>
          <w:rFonts w:ascii="Times New Roman" w:hAnsi="Times New Roman"/>
          <w:sz w:val="20"/>
          <w:lang w:eastAsia="fr-FR"/>
        </w:rPr>
        <w:t xml:space="preserve">du 18 juin 2010 </w:t>
      </w:r>
    </w:p>
    <w:p w:rsidR="008106BA" w:rsidRPr="00F94E0E" w:rsidRDefault="008106BA" w:rsidP="00F94E0E">
      <w:pPr>
        <w:widowControl w:val="0"/>
        <w:pBdr>
          <w:bottom w:val="single" w:sz="6" w:space="0" w:color="auto"/>
        </w:pBdr>
        <w:autoSpaceDE w:val="0"/>
        <w:autoSpaceDN w:val="0"/>
        <w:adjustRightInd w:val="0"/>
        <w:spacing w:after="0" w:line="240" w:lineRule="auto"/>
        <w:rPr>
          <w:rFonts w:ascii="Arial" w:hAnsi="Arial" w:cs="Arial"/>
          <w:sz w:val="5"/>
          <w:lang w:val="ru-RU" w:eastAsia="fr-FR"/>
        </w:rPr>
      </w:pPr>
    </w:p>
    <w:p w:rsidR="008106BA" w:rsidRPr="00F94E0E" w:rsidRDefault="008106BA" w:rsidP="00F94E0E">
      <w:pPr>
        <w:widowControl w:val="0"/>
        <w:autoSpaceDE w:val="0"/>
        <w:autoSpaceDN w:val="0"/>
        <w:adjustRightInd w:val="0"/>
        <w:spacing w:after="0" w:line="240" w:lineRule="auto"/>
        <w:jc w:val="center"/>
        <w:rPr>
          <w:rFonts w:ascii="Arial" w:hAnsi="Arial" w:cs="Arial"/>
          <w:b/>
          <w:bCs/>
          <w:sz w:val="16"/>
          <w:lang w:val="ru-RU" w:eastAsia="fr-FR"/>
        </w:rPr>
      </w:pPr>
      <w:bookmarkStart w:id="0" w:name="Par63"/>
      <w:bookmarkEnd w:id="0"/>
      <w:r w:rsidRPr="00F94E0E">
        <w:rPr>
          <w:rFonts w:ascii="Times New Roman" w:hAnsi="Times New Roman"/>
          <w:b/>
          <w:bCs/>
          <w:sz w:val="16"/>
          <w:lang w:eastAsia="fr-FR"/>
        </w:rPr>
        <w:t>LISTE UNIFIÉE</w:t>
      </w:r>
    </w:p>
    <w:p w:rsidR="008106BA" w:rsidRPr="00F94E0E" w:rsidRDefault="008106BA" w:rsidP="00F94E0E">
      <w:pPr>
        <w:widowControl w:val="0"/>
        <w:autoSpaceDE w:val="0"/>
        <w:autoSpaceDN w:val="0"/>
        <w:adjustRightInd w:val="0"/>
        <w:spacing w:after="0" w:line="240" w:lineRule="auto"/>
        <w:jc w:val="center"/>
        <w:rPr>
          <w:rFonts w:ascii="Arial" w:hAnsi="Arial" w:cs="Arial"/>
          <w:b/>
          <w:bCs/>
          <w:sz w:val="16"/>
          <w:lang w:val="ru-RU" w:eastAsia="fr-FR"/>
        </w:rPr>
      </w:pPr>
      <w:r w:rsidRPr="00F94E0E">
        <w:rPr>
          <w:rFonts w:ascii="Times New Roman" w:hAnsi="Times New Roman"/>
          <w:b/>
          <w:bCs/>
          <w:sz w:val="16"/>
          <w:lang w:eastAsia="fr-FR"/>
        </w:rPr>
        <w:t>DES MARCHANDISES SOUMISES AU CONTRÔLE (À LA SURVEILLANCE) VÉTÉRINAIRE*</w:t>
      </w:r>
    </w:p>
    <w:p w:rsidR="008106BA" w:rsidRPr="00F94E0E" w:rsidRDefault="008106BA" w:rsidP="00F94E0E">
      <w:pPr>
        <w:widowControl w:val="0"/>
        <w:autoSpaceDE w:val="0"/>
        <w:autoSpaceDN w:val="0"/>
        <w:adjustRightInd w:val="0"/>
        <w:spacing w:after="0" w:line="240" w:lineRule="auto"/>
        <w:jc w:val="center"/>
        <w:rPr>
          <w:rFonts w:ascii="Arial" w:hAnsi="Arial" w:cs="Arial"/>
          <w:sz w:val="20"/>
          <w:lang w:val="ru-RU" w:eastAsia="fr-FR"/>
        </w:rPr>
      </w:pPr>
    </w:p>
    <w:p w:rsidR="008106BA" w:rsidRPr="00A01929" w:rsidRDefault="008106BA" w:rsidP="00A01929">
      <w:pPr>
        <w:widowControl w:val="0"/>
        <w:autoSpaceDE w:val="0"/>
        <w:autoSpaceDN w:val="0"/>
        <w:adjustRightInd w:val="0"/>
        <w:spacing w:after="0" w:line="240" w:lineRule="auto"/>
        <w:jc w:val="center"/>
        <w:rPr>
          <w:rFonts w:ascii="Times New Roman" w:hAnsi="Times New Roman" w:cs="Arial"/>
          <w:sz w:val="20"/>
          <w:lang w:val="ru-RU" w:eastAsia="fr-FR"/>
        </w:rPr>
      </w:pPr>
      <w:r w:rsidRPr="00A01929">
        <w:rPr>
          <w:rFonts w:ascii="Times New Roman" w:hAnsi="Times New Roman"/>
          <w:sz w:val="20"/>
          <w:lang w:eastAsia="fr-FR"/>
        </w:rPr>
        <w:t xml:space="preserve">(version approuvée par les décisions de la Commission de l’Union douanière du 02.03.2011 </w:t>
      </w:r>
      <w:r w:rsidRPr="00A01929">
        <w:rPr>
          <w:rFonts w:ascii="Times New Roman" w:hAnsi="Times New Roman" w:cs="Arial"/>
          <w:sz w:val="20"/>
          <w:lang w:eastAsia="fr-FR"/>
        </w:rPr>
        <w:t>n° 570,</w:t>
      </w:r>
      <w:r w:rsidRPr="00A01929">
        <w:rPr>
          <w:rFonts w:ascii="Times New Roman" w:hAnsi="Times New Roman" w:cs="Arial"/>
          <w:sz w:val="20"/>
          <w:lang w:val="ru-RU" w:eastAsia="fr-FR"/>
        </w:rPr>
        <w:t xml:space="preserve"> </w:t>
      </w:r>
      <w:r w:rsidRPr="00A01929">
        <w:rPr>
          <w:rFonts w:ascii="Times New Roman" w:hAnsi="Times New Roman"/>
          <w:sz w:val="20"/>
          <w:lang w:eastAsia="fr-FR"/>
        </w:rPr>
        <w:t xml:space="preserve">du 18.10.2011 </w:t>
      </w:r>
      <w:r w:rsidRPr="00A01929">
        <w:rPr>
          <w:rFonts w:ascii="Times New Roman" w:hAnsi="Times New Roman" w:cs="Arial"/>
          <w:sz w:val="20"/>
          <w:lang w:eastAsia="fr-FR"/>
        </w:rPr>
        <w:t>n°</w:t>
      </w:r>
      <w:r w:rsidRPr="00A01929">
        <w:rPr>
          <w:rFonts w:ascii="Times New Roman" w:hAnsi="Times New Roman"/>
          <w:sz w:val="20"/>
          <w:lang w:eastAsia="fr-FR"/>
        </w:rPr>
        <w:t xml:space="preserve"> 831, du 09.12.2011 </w:t>
      </w:r>
      <w:r w:rsidRPr="00A01929">
        <w:rPr>
          <w:rFonts w:ascii="Times New Roman" w:hAnsi="Times New Roman" w:cs="Arial"/>
          <w:sz w:val="20"/>
          <w:lang w:eastAsia="fr-FR"/>
        </w:rPr>
        <w:t>n° 859,</w:t>
      </w:r>
      <w:r w:rsidRPr="00A01929">
        <w:rPr>
          <w:rFonts w:ascii="Times New Roman" w:hAnsi="Times New Roman" w:cs="Arial"/>
          <w:sz w:val="20"/>
          <w:lang w:val="ru-RU" w:eastAsia="fr-FR"/>
        </w:rPr>
        <w:t xml:space="preserve"> </w:t>
      </w:r>
      <w:r w:rsidRPr="00A01929">
        <w:rPr>
          <w:rFonts w:ascii="Times New Roman" w:hAnsi="Times New Roman"/>
          <w:sz w:val="20"/>
          <w:lang w:eastAsia="fr-FR"/>
        </w:rPr>
        <w:t>les décisions du Conseil de la Commission économique eurasienne</w:t>
      </w:r>
      <w:r w:rsidRPr="00A01929">
        <w:rPr>
          <w:rFonts w:ascii="Times New Roman" w:hAnsi="Times New Roman" w:cs="Arial"/>
          <w:sz w:val="20"/>
          <w:lang w:val="ru-RU" w:eastAsia="fr-FR"/>
        </w:rPr>
        <w:t xml:space="preserve"> </w:t>
      </w:r>
      <w:r w:rsidRPr="00A01929">
        <w:rPr>
          <w:rFonts w:ascii="Times New Roman" w:hAnsi="Times New Roman"/>
          <w:sz w:val="20"/>
          <w:lang w:eastAsia="fr-FR"/>
        </w:rPr>
        <w:t xml:space="preserve">du 24.08.2012 </w:t>
      </w:r>
      <w:r w:rsidRPr="00A01929">
        <w:rPr>
          <w:rFonts w:ascii="Times New Roman" w:hAnsi="Times New Roman" w:cs="Arial"/>
          <w:sz w:val="20"/>
          <w:lang w:eastAsia="fr-FR"/>
        </w:rPr>
        <w:t>n°</w:t>
      </w:r>
      <w:r w:rsidRPr="00A01929">
        <w:rPr>
          <w:rFonts w:ascii="Times New Roman" w:hAnsi="Times New Roman"/>
          <w:sz w:val="20"/>
          <w:lang w:eastAsia="fr-FR"/>
        </w:rPr>
        <w:t xml:space="preserve"> 73, du 02.07.2013 </w:t>
      </w:r>
      <w:r w:rsidRPr="00A01929">
        <w:rPr>
          <w:rFonts w:ascii="Times New Roman" w:hAnsi="Times New Roman" w:cs="Arial"/>
          <w:sz w:val="20"/>
          <w:lang w:eastAsia="fr-FR"/>
        </w:rPr>
        <w:t>n° 43)</w:t>
      </w:r>
    </w:p>
    <w:p w:rsidR="008106BA" w:rsidRPr="00F94E0E" w:rsidRDefault="008106BA" w:rsidP="00F94E0E">
      <w:pPr>
        <w:widowControl w:val="0"/>
        <w:autoSpaceDE w:val="0"/>
        <w:autoSpaceDN w:val="0"/>
        <w:adjustRightInd w:val="0"/>
        <w:spacing w:after="0" w:line="240" w:lineRule="auto"/>
        <w:jc w:val="center"/>
        <w:rPr>
          <w:rFonts w:ascii="Arial" w:hAnsi="Arial" w:cs="Arial"/>
          <w:sz w:val="20"/>
          <w:lang w:val="ru-RU" w:eastAsia="fr-FR"/>
        </w:rPr>
      </w:pPr>
    </w:p>
    <w:p w:rsidR="008106BA" w:rsidRPr="00F94E0E" w:rsidRDefault="008106BA" w:rsidP="00F94E0E">
      <w:pPr>
        <w:widowControl w:val="0"/>
        <w:autoSpaceDE w:val="0"/>
        <w:autoSpaceDN w:val="0"/>
        <w:adjustRightInd w:val="0"/>
        <w:spacing w:after="0" w:line="240" w:lineRule="auto"/>
        <w:jc w:val="both"/>
        <w:rPr>
          <w:rFonts w:ascii="Arial" w:hAnsi="Arial" w:cs="Arial"/>
          <w:sz w:val="20"/>
          <w:lang w:val="ru-RU" w:eastAsia="fr-FR"/>
        </w:rPr>
      </w:pPr>
      <w:r w:rsidRPr="00F94E0E">
        <w:rPr>
          <w:rFonts w:ascii="Arial" w:hAnsi="Arial" w:cs="Arial"/>
          <w:sz w:val="20"/>
          <w:lang w:val="ru-RU" w:eastAsia="fr-FR"/>
        </w:rPr>
        <w:t>--------------------------------</w:t>
      </w:r>
    </w:p>
    <w:p w:rsidR="008106BA" w:rsidRPr="00F94E0E" w:rsidRDefault="008106BA" w:rsidP="00F94E0E">
      <w:pPr>
        <w:widowControl w:val="0"/>
        <w:autoSpaceDE w:val="0"/>
        <w:autoSpaceDN w:val="0"/>
        <w:adjustRightInd w:val="0"/>
        <w:spacing w:after="0" w:line="240" w:lineRule="auto"/>
        <w:jc w:val="both"/>
        <w:rPr>
          <w:rFonts w:ascii="Arial" w:hAnsi="Arial" w:cs="Arial"/>
          <w:sz w:val="20"/>
          <w:lang w:val="ru-RU" w:eastAsia="fr-FR"/>
        </w:rPr>
      </w:pPr>
      <w:r w:rsidRPr="00F94E0E">
        <w:rPr>
          <w:rFonts w:ascii="Times New Roman" w:hAnsi="Times New Roman"/>
          <w:sz w:val="20"/>
          <w:lang w:eastAsia="fr-FR"/>
        </w:rPr>
        <w:t>&lt;*&gt; En utilisant la présente liste, il convient de respecter le code du Classement des marchandises applicable au Commerce international (TN VED) et la dénomination de la marchandise.</w:t>
      </w:r>
    </w:p>
    <w:p w:rsidR="008106BA" w:rsidRPr="00F94E0E" w:rsidRDefault="008106BA" w:rsidP="00F94E0E">
      <w:pPr>
        <w:widowControl w:val="0"/>
        <w:autoSpaceDE w:val="0"/>
        <w:autoSpaceDN w:val="0"/>
        <w:adjustRightInd w:val="0"/>
        <w:spacing w:after="0" w:line="240" w:lineRule="auto"/>
        <w:jc w:val="both"/>
        <w:rPr>
          <w:rFonts w:ascii="Arial" w:hAnsi="Arial" w:cs="Arial"/>
          <w:sz w:val="20"/>
          <w:lang w:val="ru-RU"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70"/>
        <w:gridCol w:w="3071"/>
        <w:gridCol w:w="3071"/>
      </w:tblGrid>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r w:rsidRPr="0055420B">
              <w:rPr>
                <w:rFonts w:ascii="Times New Roman" w:hAnsi="Times New Roman"/>
                <w:sz w:val="18"/>
                <w:lang w:eastAsia="fr-FR"/>
              </w:rPr>
              <w:t>Code TN VED</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r w:rsidRPr="0055420B">
              <w:rPr>
                <w:rFonts w:ascii="Times New Roman" w:hAnsi="Times New Roman"/>
                <w:sz w:val="18"/>
                <w:lang w:eastAsia="fr-FR"/>
              </w:rPr>
              <w:t>Dénomination des marchandises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r w:rsidRPr="0055420B">
              <w:rPr>
                <w:rFonts w:ascii="Times New Roman" w:hAnsi="Times New Roman"/>
                <w:sz w:val="18"/>
                <w:lang w:eastAsia="fr-FR"/>
              </w:rPr>
              <w:t>Remarque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r w:rsidRPr="0055420B">
              <w:rPr>
                <w:rFonts w:ascii="Times New Roman" w:hAnsi="Times New Roman"/>
                <w:sz w:val="18"/>
                <w:lang w:val="ru-RU" w:eastAsia="fr-FR"/>
              </w:rPr>
              <w:t>0101</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r w:rsidRPr="0055420B">
              <w:rPr>
                <w:rFonts w:ascii="Times New Roman" w:hAnsi="Times New Roman"/>
                <w:sz w:val="18"/>
                <w:lang w:eastAsia="fr-FR"/>
              </w:rPr>
              <w:t>Chevaux, ânes, mulets et bardots vivants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0102</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Bovins vivants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 xml:space="preserve">0103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Porcs vivants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0104</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Brebis et chèvres vivantes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0105</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Volaille vivante, notamment poules domestiques (Gallus domesticus), canards, oies, dindes et pintades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0106</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Autres animaux vivants </w:t>
            </w:r>
            <w:hyperlink w:anchor="Par686" w:tooltip="Ссылка на текущий документ" w:history="1">
              <w:r w:rsidRPr="0055420B">
                <w:rPr>
                  <w:rFonts w:ascii="Courier New" w:hAnsi="Courier New" w:cs="Courier New"/>
                  <w:color w:val="0000FF"/>
                  <w:sz w:val="18"/>
                  <w:lang w:eastAsia="fr-FR"/>
                </w:rPr>
                <w:t>&lt;1&gt;</w:t>
              </w:r>
            </w:hyperlink>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0201</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Viande bovine, fraîche ou réfrigérée</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0202</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Viande bovine congelée</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0203</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Viande de porc fraîche, réfrigérée ou congelée</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0204</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Viande de mouton ou de chèvre fraîche, réfrigérée ou congelée</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0205 00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Viande de cheval, d’âne, de mulet ou de bardot, fraîche, réfrigérée ou congelée</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0206</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Abats alimentaires de bovins, de porcs, de brebis, de chèvres, de chevaux, d’ânes, de mulets ou de bardots, frais, réfrigérés ou congelés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0207</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Viande et abats alimentaires de la volaille, spécifiée à la position 0105, frais, réfrigérés ou congelés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0208</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Autres viandes et abats alimentaires, frais, réfrigérés ou congelés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0209</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Graisse porcine séparée de la viande maigre et graisse de volaille, non fondues ou non extraites d’une autre manière, fraîches, réfrigérées, congelées, salées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marinées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séchées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xml:space="preserve"> ou fumées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Arial" w:hAnsi="Arial" w:cs="Arial"/>
                <w:sz w:val="20"/>
                <w:lang w:val="ru-RU" w:eastAsia="fr-FR"/>
              </w:rPr>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0210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Viande et abats alimentaires de viande, salés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marinés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séchés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xml:space="preserve"> ou fumés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 farine alimentaire de viande ou d’abats de viande</w:t>
            </w:r>
            <w:hyperlink w:anchor="Par687" w:tooltip="Ссылка на текущий документ" w:history="1">
              <w:r w:rsidRPr="00A914BA">
                <w:rPr>
                  <w:rStyle w:val="Hyperlink"/>
                </w:rPr>
                <w:t>Par687</w:t>
              </w:r>
            </w:hyperlink>
            <w:r w:rsidRPr="0055420B">
              <w:rPr>
                <w:rFonts w:ascii="Courier New" w:hAnsi="Courier New" w:cs="Courier New"/>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hyperlink w:anchor="Par687" w:tooltip="Ссылка на текущий документ" w:history="1">
              <w:r w:rsidRPr="00A914BA">
                <w:rPr>
                  <w:rStyle w:val="Hyperlink"/>
                </w:rPr>
                <w:t>Par687</w:t>
              </w:r>
            </w:hyperlink>
            <w:r w:rsidRPr="0055420B">
              <w:rPr>
                <w:rFonts w:ascii="Times New Roman" w:hAnsi="Times New Roman"/>
                <w:sz w:val="18"/>
              </w:rPr>
              <w:t xml:space="preserve"> - 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0301</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Poisson vivant</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0302</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Poisson frais ou réfrigéré, à l’exception du filet de poisson et d’autre viande de poisson, mentionnée à la position 0304</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0303</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Poisson congelé, à l’exception du filet de poisson et de la viande de poisson, mentionnée à la position 0304</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0304</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Filet de poisson et autre viande de poisson (y compris la viande hachée), frais, réfrigérés ou congelés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0305</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Poisson séché, salé ou mariné ; poisson fumé qui n’a pas été soumis ou qui a été soumis au traitement thermique avant ou pendant le processus de fumage ; farine de poisson fine et grossière et granules de poisson comestibles&lt;**&gt;</w:t>
            </w:r>
          </w:p>
        </w:tc>
        <w:tc>
          <w:tcPr>
            <w:tcW w:w="3071" w:type="dxa"/>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&lt;**&gt; - en prospérité épizootique</w:t>
            </w: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0306</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Crustacés avec ou sans cuirasse,</w:t>
            </w:r>
            <w:r w:rsidRPr="0055420B">
              <w:rPr>
                <w:rFonts w:ascii="Courier New" w:hAnsi="Courier New" w:cs="Courier New"/>
                <w:sz w:val="18"/>
                <w:lang w:eastAsia="fr-FR"/>
              </w:rPr>
              <w:t xml:space="preserve"> </w:t>
            </w:r>
            <w:r w:rsidRPr="0055420B">
              <w:rPr>
                <w:rFonts w:ascii="Times New Roman" w:hAnsi="Times New Roman"/>
                <w:sz w:val="18"/>
                <w:lang w:eastAsia="fr-FR"/>
              </w:rPr>
              <w:t>vivants, frais, réfrigérés, congelés, séchés&lt;**&gt;, salés&lt;**&gt; ou marinés&lt;**&gt; ; crustacés fumés &lt;**&gt; avec ou sans cuirasse, qui n’ont pas été soumis ou qui ont été soumis au traitement thermique avant ou pendant le processus de fumage ; crustacés avec cuirasse cuits à la vapeur&lt;**&gt; ou dans de l’eau bouillante&lt;**&gt;, réfrigérés ou non réfrigérés, congelés, séchés&lt;**&gt;, salés&lt;**&gt; ou marinés&lt;**&gt; ; farine fine et grossière et granules de crustacés comestibles&lt;**&gt;</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&lt;**&gt; - en prospérité épizootique</w:t>
            </w: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0307</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Mollusques avec ou sans coquille, vivants, frais, réfrigérés, congelés, séchés&lt;**&gt;, salés&lt;**&gt; ou marinés&lt;**&gt; ; mollusques fumés &lt;**&gt; avec ou sans coquille</w:t>
            </w:r>
            <w:r w:rsidRPr="0055420B">
              <w:rPr>
                <w:rFonts w:ascii="Courier New" w:hAnsi="Courier New" w:cs="Courier New"/>
                <w:sz w:val="18"/>
                <w:lang w:eastAsia="fr-FR"/>
              </w:rPr>
              <w:t xml:space="preserve"> </w:t>
            </w:r>
            <w:r w:rsidRPr="0055420B">
              <w:rPr>
                <w:rFonts w:ascii="Times New Roman" w:hAnsi="Times New Roman"/>
                <w:sz w:val="18"/>
                <w:lang w:eastAsia="fr-FR"/>
              </w:rPr>
              <w:t>qui n’ont pas été soumis ou qui ont été soumis au traitement thermique avant ou pendant le processus de fumage&lt;**&gt; ; farine fine et grossière et granules de mollusques comestibles&lt;**&gt;</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&lt;**&gt; - en prospérité épizootique</w:t>
            </w: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0308</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Invertébrés aquatiques différents des crustacés et mollusques, vivants, frais, réfrigérés, congelés, séchés&lt;**&gt;, salés&lt;**&gt; ou marinés&lt;**&gt; ; invertébrés aquatiques fumés différents des crustacés et mollusques&lt;**&gt; qui n’ont pas été soumis ou qui ont été soumis au traitement thermique avant ou pendant le processus de fumage&lt;**&gt; ; farine fine et grossière et granules d’invertébrés aquatiques différents des crustacés et mollusques, comestibles&lt;**&gt;</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&lt;**&gt; - en prospérité épizootique</w:t>
            </w: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(position introduite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0401</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Lait et crème, non condensés et sans addition de sucre ou d’autres éléments sucrants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(version approuvée par la décision n° 570 de la Commission de l’Union douanière du 02.03.2011)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0402</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Lait et crème, condensés ou avec addition de sucre et d’autres éléments sucrants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hyperlink w:anchor="Par687" w:tooltip="Ссылка на текущий документ" w:history="1">
              <w:r w:rsidRPr="00A914BA">
                <w:rPr>
                  <w:rStyle w:val="Hyperlink"/>
                </w:rPr>
                <w:t>Par687</w:t>
              </w:r>
            </w:hyperlink>
            <w:r w:rsidRPr="0055420B">
              <w:rPr>
                <w:rFonts w:ascii="Times New Roman" w:hAnsi="Times New Roman"/>
                <w:sz w:val="18"/>
              </w:rPr>
              <w:t xml:space="preserve"> - 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0403</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Babeurre, lait caillé et crème, yaourt, kéfir et autres laits fermentés ou acidifiés, concentrés ou non concentrés, avec ou sans addition de sucre ou d’autres éléments sucrants, avec ou sans additifs aromatisés, avec ou sans addition de fruits, noix ou cacao</w:t>
            </w:r>
            <w:hyperlink w:anchor="Par687" w:tooltip="Ссылка на текущий документ" w:history="1">
              <w:r w:rsidRPr="00A914BA">
                <w:rPr>
                  <w:rStyle w:val="Hyperlink"/>
                </w:rPr>
                <w:t>Par687</w:t>
              </w:r>
            </w:hyperlink>
            <w:r w:rsidRPr="0055420B">
              <w:rPr>
                <w:rFonts w:ascii="Courier New" w:hAnsi="Courier New" w:cs="Courier New"/>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0404</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Sérum laitier condensé ou non condensé, avec ou sans addition de sucre ou d’autres éléments sucrants ; produits à base des composants laitiers naturels, avec ou sans addition de sucre ou d’autres éléments sucrants, qui ne sont pas cités ou mentionnés à un autre endroit</w:t>
            </w:r>
            <w:hyperlink w:anchor="Par687" w:tooltip="Ссылка на текущий документ" w:history="1">
              <w:r w:rsidRPr="00A914BA">
                <w:rPr>
                  <w:rStyle w:val="Hyperlink"/>
                </w:rPr>
                <w:t>Par687</w:t>
              </w:r>
            </w:hyperlink>
            <w:r w:rsidRPr="0055420B">
              <w:rPr>
                <w:rFonts w:ascii="Courier New" w:hAnsi="Courier New" w:cs="Courier New"/>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0405</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Beurre et autres graisses et huiles à base de lait ; pâtes laitières</w:t>
            </w:r>
            <w:hyperlink w:anchor="Par687" w:tooltip="Ссылка на текущий документ" w:history="1">
              <w:r w:rsidRPr="00A914BA">
                <w:rPr>
                  <w:rStyle w:val="Hyperlink"/>
                </w:rPr>
                <w:t>Par687</w:t>
              </w:r>
            </w:hyperlink>
            <w:r w:rsidRPr="0055420B">
              <w:rPr>
                <w:rFonts w:ascii="Courier New" w:hAnsi="Courier New" w:cs="Courier New"/>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0406</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Fromage et fromage blanc</w:t>
            </w:r>
            <w:hyperlink w:anchor="Par687" w:tooltip="Ссылка на текущий документ" w:history="1">
              <w:r w:rsidRPr="00A914BA">
                <w:rPr>
                  <w:rStyle w:val="Hyperlink"/>
                </w:rPr>
                <w:t>Par687</w:t>
              </w:r>
            </w:hyperlink>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 xml:space="preserve">0407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Œufs d’oiseaux avec coquille, frais, conservés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xml:space="preserve"> ou cuits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0408</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Œufs d’oiseaux sans coquille et jaunes d’œufs, frais, séchés, cuits à la vapeur</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xml:space="preserve"> ou</w:t>
            </w:r>
            <w:r w:rsidRPr="0055420B">
              <w:rPr>
                <w:rFonts w:ascii="Courier New" w:hAnsi="Courier New" w:cs="Courier New"/>
                <w:sz w:val="18"/>
                <w:lang w:eastAsia="fr-FR"/>
              </w:rPr>
              <w:t xml:space="preserve"> </w:t>
            </w:r>
            <w:r w:rsidRPr="0055420B">
              <w:rPr>
                <w:rFonts w:ascii="Times New Roman" w:hAnsi="Times New Roman"/>
                <w:sz w:val="18"/>
                <w:lang w:eastAsia="fr-FR"/>
              </w:rPr>
              <w:t>dans de l’eau bouillante</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formés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w:t>
            </w:r>
            <w:r w:rsidRPr="0055420B">
              <w:rPr>
                <w:rFonts w:ascii="Courier New" w:hAnsi="Courier New" w:cs="Courier New"/>
                <w:sz w:val="18"/>
                <w:lang w:eastAsia="fr-FR"/>
              </w:rPr>
              <w:t xml:space="preserve"> </w:t>
            </w:r>
            <w:r w:rsidRPr="0055420B">
              <w:rPr>
                <w:rFonts w:ascii="Times New Roman" w:hAnsi="Times New Roman"/>
                <w:sz w:val="18"/>
                <w:lang w:eastAsia="fr-FR"/>
              </w:rPr>
              <w:t>congelés ou conservés autrement</w:t>
            </w:r>
            <w:r w:rsidRPr="0055420B">
              <w:rPr>
                <w:rFonts w:ascii="Courier New" w:hAnsi="Courier New" w:cs="Courier New"/>
                <w:sz w:val="18"/>
                <w:lang w:eastAsia="fr-FR"/>
              </w:rPr>
              <w:t xml:space="preserve"> </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avec ou sans addition de sucre ou d’autres éléments sucrants</w:t>
            </w:r>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0409 00 000 0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Miel naturel</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0410 00 000 0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Produits alimentaires d’origine animale qui ne sont pas cités ou mentionnés à un autre endroit</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0502</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Soie de porc ou de sanglier ; poils de blaireau ou autres poils utilisés pour la production des produits de brossage ; leurs déchets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0504 00 000 0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Boyaux, bulles et estomacs d’animaux (à l’exception de ceux de poisson), entiers ou en morceaux, frais, réfrigérés, congelés, salés, marinés, séchés ou fumés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0505</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Peaux et autres parties d’oiseaux avec plumes ou duvet, plumes et parties de plumes (avec des bords coupés ou non coupés) et duvet, nettoyés, désinfectés ou travaillés pour la conservation, mais non soumis au traitement ultérieur ; poudre et déchets de plumes et de leurs parties</w:t>
            </w:r>
            <w:r w:rsidRPr="0055420B">
              <w:rPr>
                <w:rFonts w:ascii="Courier New" w:hAnsi="Courier New" w:cs="Courier New"/>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0506</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Os et cornillon, bruts, dégraissés, soumis au traitement primaire (sans forme), traités par acide ou dépourvus de gélatine ; poudre et déchets de ces produits</w:t>
            </w:r>
            <w:r w:rsidRPr="0055420B">
              <w:rPr>
                <w:rFonts w:ascii="Courier New" w:hAnsi="Courier New" w:cs="Courier New"/>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0507</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Ivoire, cuirasses des tortues, fanons de baleine ou d’autres mammifères maritimes, cornes, bois, sabots, ongles, griffes et becs, bruts ou soumis au traitement primaire sans forme ; poudre et déchets de ces produits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0508 00 000 0</w:t>
            </w:r>
          </w:p>
        </w:tc>
        <w:tc>
          <w:tcPr>
            <w:tcW w:w="6142" w:type="dxa"/>
            <w:gridSpan w:val="2"/>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 xml:space="preserve">Position éliminée. - Décision n° 831 de la Commission de l’Union douanière du 18.10.2011 </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0510 00 000 0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Ambre gris, filet de castor, civette et musc ; lytta ; bile, y compris bile sèche ; glandes et autres produits d’origine animale utilisés pour la production des produits pharmaceutiques, frais, réfrigérés, congelés ou traités d’une autre manière pour la conservation de courte durée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0511</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Produits d’origine animale qui ne sont pas cités ou mentionnés à un autre endroit ; animaux morts du groupe 01 ou du groupe 03, non comestibles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0511 99 310 0, </w:t>
            </w:r>
            <w:r w:rsidRPr="0055420B">
              <w:rPr>
                <w:rFonts w:ascii="Courier New" w:hAnsi="Courier New" w:cs="Courier New"/>
                <w:sz w:val="18"/>
                <w:lang w:eastAsia="fr-FR"/>
              </w:rPr>
              <w:t>0511 99 390 0</w:t>
            </w:r>
          </w:p>
        </w:tc>
        <w:tc>
          <w:tcPr>
            <w:tcW w:w="6142" w:type="dxa"/>
            <w:gridSpan w:val="2"/>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 xml:space="preserve">Position éliminée. - Décision n° 831 de la Commission de l’Union douanière du 18.10.2011 </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Courier New" w:hAnsi="Courier New" w:cs="Courier New"/>
                <w:sz w:val="18"/>
                <w:lang w:eastAsia="fr-FR"/>
              </w:rPr>
              <w:t>0511 99 859 2</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Crin de cheval et ses déchets, y compris sous forme de toile avec ou sans support</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Courier New" w:hAnsi="Courier New" w:cs="Courier New"/>
                <w:sz w:val="18"/>
                <w:lang w:val="ru-RU" w:eastAsia="fr-FR"/>
              </w:rPr>
            </w:pPr>
            <w:r w:rsidRPr="0055420B">
              <w:rPr>
                <w:rFonts w:ascii="Times New Roman" w:hAnsi="Times New Roman"/>
                <w:sz w:val="18"/>
                <w:lang w:eastAsia="fr-FR"/>
              </w:rPr>
              <w:t xml:space="preserve">de 0511, de 9601, de 9705 00 000 0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Trophées de chasse, épouvantails, y compris ceux qui ont été soumis au traitement taxidermiste ou qui sont conservés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eastAsia="fr-FR"/>
              </w:rPr>
            </w:pPr>
            <w:r w:rsidRPr="0055420B">
              <w:rPr>
                <w:rFonts w:ascii="Times New Roman" w:hAnsi="Times New Roman"/>
                <w:sz w:val="18"/>
                <w:lang w:eastAsia="fr-FR"/>
              </w:rPr>
              <w:t>1001 19 000 0</w:t>
            </w:r>
          </w:p>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(uniquement des grains fourragers)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Blé ferme </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eastAsia="fr-FR"/>
              </w:rPr>
            </w:pPr>
            <w:r w:rsidRPr="0055420B">
              <w:rPr>
                <w:rFonts w:ascii="Times New Roman" w:hAnsi="Times New Roman"/>
                <w:sz w:val="18"/>
                <w:lang w:eastAsia="fr-FR"/>
              </w:rPr>
              <w:t>1001 99 000 0</w:t>
            </w:r>
          </w:p>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(uniquement des grains fourragers)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Blé mou </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eastAsia="fr-FR"/>
              </w:rPr>
            </w:pPr>
            <w:r w:rsidRPr="0055420B">
              <w:rPr>
                <w:rFonts w:ascii="Times New Roman" w:hAnsi="Times New Roman"/>
                <w:sz w:val="18"/>
                <w:lang w:eastAsia="fr-FR"/>
              </w:rPr>
              <w:t>1002 90 000 0</w:t>
            </w:r>
          </w:p>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(uniquement des grains fourragers)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Seigle </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eastAsia="fr-FR"/>
              </w:rPr>
            </w:pPr>
            <w:r w:rsidRPr="0055420B">
              <w:rPr>
                <w:rFonts w:ascii="Times New Roman" w:hAnsi="Times New Roman"/>
                <w:sz w:val="18"/>
                <w:lang w:eastAsia="fr-FR"/>
              </w:rPr>
              <w:t>1003 90 000 0</w:t>
            </w:r>
          </w:p>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(uniquement des grains fourragers)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Orge </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eastAsia="fr-FR"/>
              </w:rPr>
            </w:pPr>
            <w:r w:rsidRPr="0055420B">
              <w:rPr>
                <w:rFonts w:ascii="Times New Roman" w:hAnsi="Times New Roman"/>
                <w:sz w:val="18"/>
                <w:lang w:eastAsia="fr-FR"/>
              </w:rPr>
              <w:t>1004 90 000 0</w:t>
            </w:r>
          </w:p>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(uniquement des grains fourragers)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Avoine </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eastAsia="fr-FR"/>
              </w:rPr>
            </w:pPr>
            <w:r w:rsidRPr="0055420B">
              <w:rPr>
                <w:rFonts w:ascii="Times New Roman" w:hAnsi="Times New Roman"/>
                <w:sz w:val="18"/>
                <w:lang w:eastAsia="fr-FR"/>
              </w:rPr>
              <w:t>1005 90 000 0</w:t>
            </w:r>
          </w:p>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(uniquement des grains fourragers)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Maïs autre </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eastAsia="fr-FR"/>
              </w:rPr>
            </w:pPr>
            <w:r w:rsidRPr="0055420B">
              <w:rPr>
                <w:rFonts w:ascii="Times New Roman" w:hAnsi="Times New Roman"/>
                <w:sz w:val="18"/>
                <w:lang w:eastAsia="fr-FR"/>
              </w:rPr>
              <w:t>1201 90 000 0</w:t>
            </w:r>
          </w:p>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(uniquement des grains fourragers)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Fèves de soja </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1208</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Farine fine et grossière à base de graines ou de fruits des oléacées (à l’exception des graines de moutarde) pour l’alimentation animale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1211</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Plantes et leurs parties (y compris les graines et les fruits), utilisées pour lutter contre les insectes ou à des fins similaires, ou en médecine vétérinaire, fraîches ou sèches, entières ou concassées, broyées ou moulues</w:t>
            </w:r>
            <w:r w:rsidRPr="0055420B">
              <w:rPr>
                <w:rFonts w:ascii="Courier New" w:hAnsi="Courier New" w:cs="Courier New"/>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En cas de déclaration de l’utilisation à des fins vétérinaires, notamment pour l’alimentation animale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1212 99 950 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Autres (pollen, pollen de fleurs)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1213 00 000 0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Paille et vannure des céréales, brutes, concassées ou non concassées, moulues ou non moulues, comprimées ou granulées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1214</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Chou-navet, chou à feuilles (cardes), rhizocarpées de fourrage, paille, luzerne, trèfle, sainfoin, chou fourrager, lupin, vesces et produits fourragers similaires, granulés ou non granulés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de 1301 90 000 0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Autres (propolis)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1501</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Graisse porcine (y compris le saindoux) et graisse de volaille, à l’exception de la graisse des positions 0209 ou 1503</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1502</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Graisse bovine, de brebis ou de chèvres, à l’exception de la graisse de la position 1503</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(version approuvée par la décision n° 859 de la Commission de l’Union douanière du 09.12.2011)</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1503 00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Saindoux-stéarine, saindoux-oïl, oléostéarine, oléo-oïl et huile animale, non émulsifiés ou non mélangés, ou non préparés autrement</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1504</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Graisses, huiles et leurs factions, à base de poisson ou de mammifères maritimes, non raffinées ou raffinées, mais sans modification de leur constitution chimique</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1505 00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Suint et substances de graisse obtenues à partir de celui-ci (y compris la lanoline)</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1506 00 000 0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Autres graisses et huiles d’animaux et leurs factions</w:t>
            </w:r>
            <w:r w:rsidRPr="0055420B">
              <w:rPr>
                <w:rFonts w:ascii="Courier New" w:hAnsi="Courier New" w:cs="Courier New"/>
                <w:sz w:val="18"/>
                <w:lang w:eastAsia="fr-FR"/>
              </w:rPr>
              <w:t xml:space="preserve">, </w:t>
            </w:r>
            <w:r w:rsidRPr="0055420B">
              <w:rPr>
                <w:rFonts w:ascii="Times New Roman" w:hAnsi="Times New Roman"/>
                <w:sz w:val="18"/>
                <w:lang w:eastAsia="fr-FR"/>
              </w:rPr>
              <w:t>non raffinées ou raffinées, mais sans modification de leur constitution chimique</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1516 10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Graisses et huiles animales et leurs factions, entièrement ou partiellement hydrogénées, transestérifiées, réestérifiées ou élainisées, non raffinées ou raffinées, mais non soumises au traitement ultérieur</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1516 20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Graisses et huiles végétales et leurs fractions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En cas de déclaration de l’utilisation à des fins vétérinaires, notamment pour l’alimentation animale </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1517</w:t>
            </w:r>
          </w:p>
        </w:tc>
        <w:tc>
          <w:tcPr>
            <w:tcW w:w="6142" w:type="dxa"/>
            <w:gridSpan w:val="2"/>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Position éliminée. - Décision n° 831 de la Commission de l’Union douanière du 18.10.2011 </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1518 00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Graisses ou huiles animales ou végétales et leurs factions, cuites, acidifiées, déshydratées, traitées au sulfuryle, acidifiées par insufflation d’air, polymérisées par voie de la chauffe dans le vide ou dans le gaz inerte ou chimiquement modifiées d’une autre manière, à l’exception des produits de la position 1516 ; mélanges non comestibles ou produits finis à base de graisses ou d’huiles végétales ou animales et à base de fractions de différentes graisses et huiles de ce groupe, qui ne sont pas cités ou mentionnés à un autre endroit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En cas de déclaration de l’utilisation à des fins vétérinaires, notamment pour l’alimentation animale </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1521 90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Cire d’abeille et cire d’autres insectes et de spermaceti, colorées ou non colorées, raffinées ou non raffinées</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1601 00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Saucissons et produits carnés analogues, abats de viande ou de sang ; produits alimentaires finis fabriqués à base de ces produits </w:t>
            </w:r>
            <w:hyperlink w:anchor="Par687" w:tooltip="Ссылка на текущий документ" w:history="1">
              <w:r w:rsidRPr="00A914BA">
                <w:rPr>
                  <w:rStyle w:val="Hyperlink"/>
                </w:rPr>
                <w:t>Par687</w:t>
              </w:r>
            </w:hyperlink>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 xml:space="preserve">1602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Produits de viande, d’abats de viande ou de sang, finis ou conservés, autres </w:t>
            </w:r>
            <w:hyperlink w:anchor="Par687" w:tooltip="Ссылка на текущий документ" w:history="1">
              <w:r w:rsidRPr="00A914BA">
                <w:rPr>
                  <w:rStyle w:val="Hyperlink"/>
                </w:rPr>
                <w:t>Par687</w:t>
              </w:r>
            </w:hyperlink>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1603 00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Extraits et jus de viande, de poisson ou de crustacés, de mollusques ou d’autres invertébrés aquatiques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1604</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Poisson fini ou conservé ; caviar d’esturgeon et ses imitations fabriquées à partir des œufs de poisson</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1605</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Crustacés finis ou conservés, mollusques et autres invertébrés aquatiques </w:t>
            </w:r>
            <w:hyperlink w:anchor="Par687" w:tooltip="Ссылка на текущий документ" w:history="1">
              <w:r w:rsidRPr="00A914BA">
                <w:rPr>
                  <w:rStyle w:val="Hyperlink"/>
                </w:rPr>
                <w:t>Par687</w:t>
              </w:r>
            </w:hyperlink>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1902 20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Pâtes farcies, soumises ou non soumises au traitement thermique ou préparées d’une autre façon, contenant du poisson, des crustacés, des mollusques ou d’autres invertébrés aquatiques, du saucisson</w:t>
            </w:r>
            <w:r w:rsidRPr="0055420B">
              <w:rPr>
                <w:rFonts w:ascii="Courier New" w:hAnsi="Courier New" w:cs="Courier New"/>
                <w:sz w:val="18"/>
                <w:lang w:eastAsia="fr-FR"/>
              </w:rPr>
              <w:t xml:space="preserve">, </w:t>
            </w:r>
            <w:r w:rsidRPr="0055420B">
              <w:rPr>
                <w:rFonts w:ascii="Times New Roman" w:hAnsi="Times New Roman"/>
                <w:sz w:val="18"/>
                <w:lang w:eastAsia="fr-FR"/>
              </w:rPr>
              <w:t>de la viande, des abats de viande, du sang ou des produits du groupe 04, ou toute combinaison de ces produits</w:t>
            </w:r>
            <w:hyperlink w:anchor="Par687" w:tooltip="Ссылка на текущий документ" w:history="1">
              <w:r w:rsidRPr="00A914BA">
                <w:rPr>
                  <w:rStyle w:val="Hyperlink"/>
                </w:rPr>
                <w:t>Par687</w:t>
              </w:r>
            </w:hyperlink>
            <w:r w:rsidRPr="0055420B">
              <w:rPr>
                <w:rFonts w:ascii="Courier New" w:hAnsi="Courier New" w:cs="Courier New"/>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1904 20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Graminées (à l’exception des graines de maïs) sous la forme de germes ou de flocons ou de graines traitées autrement (à l’exception de la farine fine et grossière), préalablement cuites ou préparées autrement, contenant du poisson, des crustacés, des mollusques ou autres invertébrés aquatiques, du saucisson, de la viande, des abats de viande, du sang ou des produits du groupe 04, ou toute autre combinaison de ces produits</w:t>
            </w:r>
            <w:hyperlink w:anchor="Par687" w:tooltip="Ссылка на текущий документ" w:history="1">
              <w:r w:rsidRPr="00A914BA">
                <w:rPr>
                  <w:rStyle w:val="Hyperlink"/>
                </w:rPr>
                <w:t>Par687</w:t>
              </w:r>
            </w:hyperlink>
            <w:r w:rsidRPr="0055420B">
              <w:rPr>
                <w:rFonts w:ascii="Courier New" w:hAnsi="Courier New" w:cs="Courier New"/>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du groupe 20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Produits issus du traitement de légumes, de fruits, de noix ou d’autres parties de plantes et de leur mélange, contenant du saucisson</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de la viande</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des abats de viande</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du sang</w:t>
            </w:r>
            <w:hyperlink w:anchor="Par687" w:tooltip="Ссылка на текущий документ" w:history="1">
              <w:r w:rsidRPr="00A914BA">
                <w:rPr>
                  <w:rStyle w:val="Hyperlink"/>
                </w:rPr>
                <w:t>Par687</w:t>
              </w:r>
            </w:hyperlink>
            <w:r w:rsidRPr="0055420B">
              <w:rPr>
                <w:rFonts w:ascii="Courier New" w:hAnsi="Courier New" w:cs="Courier New"/>
                <w:sz w:val="18"/>
                <w:lang w:eastAsia="fr-FR"/>
              </w:rPr>
              <w:t xml:space="preserve">, </w:t>
            </w:r>
            <w:r w:rsidRPr="0055420B">
              <w:rPr>
                <w:rFonts w:ascii="Times New Roman" w:hAnsi="Times New Roman"/>
                <w:sz w:val="18"/>
                <w:lang w:eastAsia="fr-FR"/>
              </w:rPr>
              <w:t>du poisson</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xml:space="preserve"> ou des crustacés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des mollusques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xml:space="preserve"> ou d’autres invertébrés aquatiques</w:t>
            </w:r>
            <w:hyperlink w:anchor="Par687" w:tooltip="Ссылка на текущий документ" w:history="1">
              <w:r w:rsidRPr="00A914BA">
                <w:rPr>
                  <w:rStyle w:val="Hyperlink"/>
                </w:rPr>
                <w:t>Par687</w:t>
              </w:r>
            </w:hyperlink>
            <w:r w:rsidRPr="0055420B">
              <w:rPr>
                <w:rFonts w:ascii="Courier New" w:hAnsi="Courier New" w:cs="Courier New"/>
                <w:sz w:val="18"/>
                <w:lang w:eastAsia="fr-FR"/>
              </w:rPr>
              <w:t xml:space="preserve">, </w:t>
            </w:r>
            <w:r w:rsidRPr="0055420B">
              <w:rPr>
                <w:rFonts w:ascii="Times New Roman" w:hAnsi="Times New Roman"/>
                <w:sz w:val="18"/>
                <w:lang w:eastAsia="fr-FR"/>
              </w:rPr>
              <w:t>ou les produits du groupe 04</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ou toute autre combinaison de ces produits</w:t>
            </w:r>
            <w:hyperlink w:anchor="Par687" w:tooltip="Ссылка на текущий документ" w:history="1">
              <w:r w:rsidRPr="00A914BA">
                <w:rPr>
                  <w:rStyle w:val="Hyperlink"/>
                </w:rPr>
                <w:t>Par687</w:t>
              </w:r>
            </w:hyperlink>
            <w:r w:rsidRPr="0055420B">
              <w:rPr>
                <w:rFonts w:ascii="Courier New" w:hAnsi="Courier New" w:cs="Courier New"/>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2102 20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Levains inactifs ; autres microorganismes morts unicellulaires utilisés pour l’alimentation animale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de 2104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Soupes et bouillons finis et conserves destinées à la préparation de ceux-ci (excepté ceux de légumes) ; produits alimentaires composés finis homogénéisés contenant du saucisson</w:t>
            </w:r>
            <w:hyperlink w:anchor="Par687" w:tooltip="Ссылка на текущий документ" w:history="1">
              <w:r w:rsidRPr="00A914BA">
                <w:rPr>
                  <w:rStyle w:val="Hyperlink"/>
                </w:rPr>
                <w:t>Par687</w:t>
              </w:r>
            </w:hyperlink>
            <w:r w:rsidRPr="0055420B">
              <w:rPr>
                <w:rFonts w:ascii="Courier New" w:hAnsi="Courier New" w:cs="Courier New"/>
                <w:sz w:val="18"/>
                <w:lang w:eastAsia="fr-FR"/>
              </w:rPr>
              <w:t xml:space="preserve">, </w:t>
            </w:r>
            <w:r w:rsidRPr="0055420B">
              <w:rPr>
                <w:rFonts w:ascii="Times New Roman" w:hAnsi="Times New Roman"/>
                <w:sz w:val="18"/>
                <w:lang w:eastAsia="fr-FR"/>
              </w:rPr>
              <w:t>de la viande</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des abats de viande</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du sang</w:t>
            </w:r>
            <w:hyperlink w:anchor="Par687" w:tooltip="Ссылка на текущий документ" w:history="1">
              <w:r w:rsidRPr="00A914BA">
                <w:rPr>
                  <w:rStyle w:val="Hyperlink"/>
                </w:rPr>
                <w:t>Par687</w:t>
              </w:r>
            </w:hyperlink>
            <w:r w:rsidRPr="0055420B">
              <w:rPr>
                <w:rFonts w:ascii="Courier New" w:hAnsi="Courier New" w:cs="Courier New"/>
                <w:sz w:val="18"/>
                <w:lang w:eastAsia="fr-FR"/>
              </w:rPr>
              <w:t xml:space="preserve">, </w:t>
            </w:r>
            <w:r w:rsidRPr="0055420B">
              <w:rPr>
                <w:rFonts w:ascii="Times New Roman" w:hAnsi="Times New Roman"/>
                <w:sz w:val="18"/>
                <w:lang w:eastAsia="fr-FR"/>
              </w:rPr>
              <w:t>du poisson</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des crustacés</w:t>
            </w:r>
            <w:hyperlink w:anchor="Par687" w:tooltip="Ссылка на текущий документ" w:history="1">
              <w:r w:rsidRPr="00A914BA">
                <w:rPr>
                  <w:rStyle w:val="Hyperlink"/>
                </w:rPr>
                <w:t>Par687</w:t>
              </w:r>
            </w:hyperlink>
            <w:r w:rsidRPr="0055420B">
              <w:rPr>
                <w:rFonts w:ascii="Courier New" w:hAnsi="Courier New" w:cs="Courier New"/>
                <w:sz w:val="18"/>
                <w:lang w:eastAsia="fr-FR"/>
              </w:rPr>
              <w:t xml:space="preserve">, </w:t>
            </w:r>
            <w:r w:rsidRPr="0055420B">
              <w:rPr>
                <w:rFonts w:ascii="Times New Roman" w:hAnsi="Times New Roman"/>
                <w:sz w:val="18"/>
                <w:lang w:eastAsia="fr-FR"/>
              </w:rPr>
              <w:t>des mollusques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xml:space="preserve"> ou d’autres invertébrés</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xml:space="preserve"> ou les produits du groupe 04</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ou toute autre combinaison de ces produits</w:t>
            </w:r>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2105 00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Glaces, à l’exception de celles qui sont fabriquées à base de fruits de baies, de glace fruitière et alimentaire</w:t>
            </w:r>
            <w:hyperlink w:anchor="Par687" w:tooltip="Ссылка на текущий документ" w:history="1">
              <w:r w:rsidRPr="00A914BA">
                <w:rPr>
                  <w:rStyle w:val="Hyperlink"/>
                </w:rPr>
                <w:t>Par687</w:t>
              </w:r>
            </w:hyperlink>
            <w:r w:rsidRPr="0055420B">
              <w:rPr>
                <w:rFonts w:ascii="Times New Roman" w:hAnsi="Times New Roman"/>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2106</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Fromages et autres produits alimentaires fondus et finis contenant du saucisson, de la viande, des abats de viande, du sang, du poisson, des crustacés, des mollusques ou d’autres invertébrés ou les produits du groupe 04, ou toute autre combinaison de ces produits</w:t>
            </w:r>
            <w:hyperlink w:anchor="Par687" w:tooltip="Ссылка на текущий документ" w:history="1">
              <w:r w:rsidRPr="00A914BA">
                <w:rPr>
                  <w:rStyle w:val="Hyperlink"/>
                </w:rPr>
                <w:t>Par687</w:t>
              </w:r>
            </w:hyperlink>
            <w:r w:rsidRPr="0055420B">
              <w:rPr>
                <w:rFonts w:ascii="Courier New" w:hAnsi="Courier New" w:cs="Courier New"/>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pPr>
            <w:hyperlink w:anchor="Par687" w:tooltip="Ссылка на текущий документ" w:history="1">
              <w:r w:rsidRPr="00A914BA">
                <w:rPr>
                  <w:rStyle w:val="Hyperlink"/>
                </w:rPr>
                <w:t>Par687</w:t>
              </w:r>
            </w:hyperlink>
            <w:r w:rsidRPr="0055420B">
              <w:rPr>
                <w:rFonts w:ascii="Courier New" w:hAnsi="Courier New" w:cs="Courier New"/>
                <w:sz w:val="18"/>
              </w:rPr>
              <w:t xml:space="preserve"> - </w:t>
            </w:r>
            <w:r w:rsidRPr="0055420B">
              <w:rPr>
                <w:rFonts w:ascii="Times New Roman" w:hAnsi="Times New Roman"/>
                <w:sz w:val="18"/>
              </w:rPr>
              <w:t>en prospérité épizootique</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2301</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Farine fine et grossière et granules de viande ou d’abats de viande, de poisson ou de crustacés, de mollusques ou d’autres invertébrés aquatiques non comestibles ; couennes grillées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2302</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Sons, criblures, provendes et autres restes du criblage, de la moulure ou d’autres moyens de traitement des graines de graminées ou des cultures de fève, granulés ou non granulés, utilisés pour l’alimentation animale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2303</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Restes de la production de l’amidon et restes analogues, presse betteravière, bagasse ou presse de la canne à sucre et autres déchets de la production du sucre, barde et autres déchets du brassage ou de la distillation, granulés ou non granulés, utilisés pour l’alimentation animale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2304 00 000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Tourteaux et autres déchets fermes obtenus lors de l’extraction de l’huile de soja, non moulus ou moulus, non granulés ou granulés, utilisés pour l’alimentation animale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2306</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Tourteaux et autres déchets fermes obtenus lors de l’extraction des graisses ou huiles végétales, à l’exception des déchets de la position 2304 ou 2305, non moulus ou moulus, non granulés ou granulés, utilisés pour l’alimentation animale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2308 00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Produits d’origine végétale et déchets végétaux, restes végétaux et abats, non granulés ou granulés, utilisés pour l’alimentation animale, qui ne sont pas cités ou mentionnés à un autre endroit</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2309</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Produits utilisés pour l’alimentation animale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du groupe 29</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Combinaisons chimiques organiques (destinées à des fins vétérinaires)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du groupe 30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Produits pharmaceutiques (destinés à des fins vétérinaires)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3101 00 000 0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Engrais d’origine animale ou végétale mélangés ou non mélangés, traités ou non traités chimiquement ; engrais obtenus au moyen du mélange ou par traitement chimique des produits d’origine végétale ou animale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3501</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Caséine, caséinates et autres dérivés de caséine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3502</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Albumines (protéines) (y compris les concentrés de deux ou de plusieurs protéines de sérum, contenant plus de 80% poids de protéines de sérum recalculés en substance sèches), albuminates et autres dérivés d’albumine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3503 00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Gélatine (y compris celle des feuilles rectangulaires (et carrées), avec ou sans traitement superficiel, colorée ou non colorée) et dérivés de la gélatine ; colle de poisson ; autre colle d’origine animale, à l’exception de la colle à la caséine de la position 3501</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3504 00 ; de 2852 10 000 2, de 2852 10 000 8, 2852 90 000 2, de 2852 90 000 4, de 2852 90 000 7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Peptones et leurs dérivés ; autres substances de protéines et leurs dérivés, qui ne sont pas cités ou mentionnés à un autre endroit ; poudre de peau ou d’abats, chromée ou non chromée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 xml:space="preserve">(version approuvée par la décision n° 859 de la Commission de l’Union douanière du 09.12.2011 , par les décisions du Conseil de la Commission économique eurasienne du 24.08.2012 </w:t>
            </w:r>
            <w:r w:rsidRPr="0055420B">
              <w:rPr>
                <w:rFonts w:ascii="Courier New" w:hAnsi="Courier New" w:cs="Courier New"/>
                <w:sz w:val="18"/>
                <w:lang w:eastAsia="fr-FR"/>
              </w:rPr>
              <w:t>n°</w:t>
            </w:r>
            <w:r w:rsidRPr="0055420B">
              <w:rPr>
                <w:rFonts w:ascii="Times New Roman" w:hAnsi="Times New Roman"/>
                <w:sz w:val="18"/>
                <w:lang w:eastAsia="fr-FR"/>
              </w:rPr>
              <w:t xml:space="preserve"> 73, du 02.07.2013 </w:t>
            </w:r>
            <w:r w:rsidRPr="0055420B">
              <w:rPr>
                <w:rFonts w:ascii="Courier New" w:hAnsi="Courier New" w:cs="Courier New"/>
                <w:sz w:val="18"/>
                <w:lang w:eastAsia="fr-FR"/>
              </w:rPr>
              <w:t>n° 43)</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3507</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Ferments (enzymes) ; préparations fermentatives qui ne sont pas citées ou mentionnées à un autre endroit (destinées à des fins vétérinaires)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de 3808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Insecticides, rodenticides, produits désinfectants et analogues, empaquetés ou emballés pour la vente au détail ou présentés en forme de préparations ou produits finis (destinés à des fins vétérinaires)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de 3821 00 000 0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Milieux culturels pour la culture des microorganismes destinés à des fins vétérinaires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de 3822 00 000 0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Réactifs diagnostiques ou de laboratoire sur un support, réactifs finis diagnostiques ou de laboratoire sur ou sans support, à l’exception des produits de la position 3002 ou 3006 (destinés à des fins vétérinaires) ; matériaux d’étalon certifiés (destinés à des fins vétérinaires)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4101</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Peaux bovines brutes (y compris celles de buffles) ou d’animaux de la famille des jumentés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4102</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Peaux brutes de brebis ou d’agneaux (fraîches ou salées, séchées, trempées dans un bain de chaux, traitées au chlorure de sodium et à l’acide ou conservées autrement, mais non doublées, non traitées pour parchemin ou non soumises au traitement ultérieur), avec ou sans poils, divisées ou non divisées, à l’exception de celles qui sont exclues conformément à la remarque 1c concernant ce groupe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4103</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Autres peaux brutes (fraîches ou salées, séchées, trempées dans un bain de chaux, traitées au chlorure de sodium et à l’acide ou conservées autrement, mais non doublées, non traitées pour parchemin ou non soumises au traitement ultérieur), avec ou sans poils, divisées ou non divisées, à l’exception de celles qui sont exclues conformément aux remarques 1b ou 1c concernant ce groupe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4206 00 000 0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Produits de boyaux (à l’exception de la fibre de fibroïne du bombyx), cæcum de taureau ou de vache, bulles ou tendons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4301</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Matières premières de duvet et de fourrure (y compris les têtes, les queues, les pattes et autres parties ou restes nécessaires à la fabrication des fourrures), à l’exception des peaux brutes des positions 4101, 4102 ou 4103</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5001 00 000 0</w:t>
            </w:r>
          </w:p>
        </w:tc>
        <w:tc>
          <w:tcPr>
            <w:tcW w:w="6142" w:type="dxa"/>
            <w:gridSpan w:val="2"/>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 xml:space="preserve">Position éliminée. - Décision n° 831 de la Commission de l’Union douanière du 18.10.2011 </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5002 00 000 0</w:t>
            </w:r>
          </w:p>
        </w:tc>
        <w:tc>
          <w:tcPr>
            <w:tcW w:w="6142" w:type="dxa"/>
            <w:gridSpan w:val="2"/>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 xml:space="preserve">Position éliminée. - Décision n° 831 de la Commission de l’Union douanière du 18.10.2011 </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5003 00 000 0</w:t>
            </w:r>
          </w:p>
        </w:tc>
        <w:tc>
          <w:tcPr>
            <w:tcW w:w="6142" w:type="dxa"/>
            <w:gridSpan w:val="2"/>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 xml:space="preserve">Position éliminée. - Décision n° 831 de la Commission de l’Union douanière du 18.10.2011 </w:t>
            </w: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5101</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Laine non soumise au cardage ou au brossage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5102</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Poils d’animaux, fins ou grossiers, non cardés ou peignés </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val="ru-RU" w:eastAsia="fr-FR"/>
              </w:rPr>
              <w:t>5103</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Déchets de laine ou de poils fins ou grossiers d’animaux, y compris les déchets à filer, mais à l’exception des matières effilées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9508 10 000 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Animaux de cirques ambulants et de ménageries ambulantes</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 xml:space="preserve">de 9705 00 000 0 </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Collections et objets de collection en matière de zoologie, d’anatomie et de paléontologie des animaux (à l’exception des pièces exposées et conservées au musée)</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3070"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de 3923, de 3926, de 4415, de 4416 00 000 0, de 4421, de 7020 00, de 7309 00, de 7310, de 7326, de 7616, de 8436 21 000 0, de 8436 29 000 0, de 8436 80 900 0, de 8606 91 800 0, de 8609 00, de 8716 39 800</w:t>
            </w:r>
          </w:p>
        </w:tc>
        <w:tc>
          <w:tcPr>
            <w:tcW w:w="3071" w:type="dxa"/>
          </w:tcPr>
          <w:p w:rsidR="008106BA" w:rsidRPr="0055420B" w:rsidRDefault="008106BA" w:rsidP="0055420B">
            <w:pPr>
              <w:widowControl w:val="0"/>
              <w:autoSpaceDE w:val="0"/>
              <w:autoSpaceDN w:val="0"/>
              <w:adjustRightInd w:val="0"/>
              <w:spacing w:after="0" w:line="240" w:lineRule="auto"/>
              <w:jc w:val="both"/>
              <w:rPr>
                <w:rFonts w:ascii="Times New Roman" w:hAnsi="Times New Roman"/>
                <w:sz w:val="18"/>
                <w:lang w:val="ru-RU" w:eastAsia="fr-FR"/>
              </w:rPr>
            </w:pPr>
            <w:r w:rsidRPr="0055420B">
              <w:rPr>
                <w:rFonts w:ascii="Times New Roman" w:hAnsi="Times New Roman"/>
                <w:sz w:val="18"/>
                <w:lang w:eastAsia="fr-FR"/>
              </w:rPr>
              <w:t>Équipement et appareils de transport, d’élevage, de surexposition temporaire de tous les types d’animaux, équipement destiné au transport des matières premières (des produits) d’origine animale, équipement d’occasion</w:t>
            </w:r>
            <w:r w:rsidRPr="0055420B">
              <w:rPr>
                <w:rFonts w:ascii="Courier New" w:hAnsi="Courier New" w:cs="Courier New"/>
                <w:sz w:val="18"/>
                <w:lang w:eastAsia="fr-FR"/>
              </w:rPr>
              <w:t xml:space="preserve"> </w:t>
            </w:r>
          </w:p>
        </w:tc>
        <w:tc>
          <w:tcPr>
            <w:tcW w:w="3071" w:type="dxa"/>
          </w:tcPr>
          <w:p w:rsidR="008106BA" w:rsidRPr="0055420B" w:rsidRDefault="008106BA" w:rsidP="0055420B">
            <w:pPr>
              <w:widowControl w:val="0"/>
              <w:autoSpaceDE w:val="0"/>
              <w:autoSpaceDN w:val="0"/>
              <w:adjustRightInd w:val="0"/>
              <w:spacing w:after="0" w:line="240" w:lineRule="auto"/>
              <w:jc w:val="both"/>
            </w:pPr>
          </w:p>
        </w:tc>
      </w:tr>
      <w:tr w:rsidR="008106BA" w:rsidTr="0055420B">
        <w:tc>
          <w:tcPr>
            <w:tcW w:w="9212" w:type="dxa"/>
            <w:gridSpan w:val="3"/>
          </w:tcPr>
          <w:p w:rsidR="008106BA" w:rsidRPr="0055420B" w:rsidRDefault="008106BA" w:rsidP="0055420B">
            <w:pPr>
              <w:widowControl w:val="0"/>
              <w:autoSpaceDE w:val="0"/>
              <w:autoSpaceDN w:val="0"/>
              <w:adjustRightInd w:val="0"/>
              <w:spacing w:after="0" w:line="240" w:lineRule="auto"/>
              <w:jc w:val="both"/>
            </w:pPr>
            <w:r w:rsidRPr="0055420B">
              <w:rPr>
                <w:rFonts w:ascii="Times New Roman" w:hAnsi="Times New Roman"/>
                <w:sz w:val="18"/>
                <w:lang w:eastAsia="fr-FR"/>
              </w:rPr>
              <w:t>(version approuvée par la décision n° 859 de la Commission de l’Union douanière du 09.12.2011)</w:t>
            </w:r>
          </w:p>
        </w:tc>
      </w:tr>
    </w:tbl>
    <w:p w:rsidR="008106BA" w:rsidRPr="00F94E0E" w:rsidRDefault="008106BA" w:rsidP="00F94E0E">
      <w:pPr>
        <w:widowControl w:val="0"/>
        <w:autoSpaceDE w:val="0"/>
        <w:autoSpaceDN w:val="0"/>
        <w:adjustRightInd w:val="0"/>
        <w:spacing w:after="0" w:line="240" w:lineRule="auto"/>
        <w:ind w:right="-426"/>
        <w:rPr>
          <w:rFonts w:ascii="Times New Roman" w:hAnsi="Times New Roman"/>
          <w:sz w:val="18"/>
          <w:lang w:val="ru-RU" w:eastAsia="fr-FR"/>
        </w:rPr>
      </w:pPr>
      <w:bookmarkStart w:id="1" w:name="_GoBack"/>
      <w:bookmarkEnd w:id="1"/>
    </w:p>
    <w:sectPr w:rsidR="008106BA" w:rsidRPr="00F94E0E" w:rsidSect="00F00B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858"/>
    <w:rsid w:val="000145AD"/>
    <w:rsid w:val="000C6566"/>
    <w:rsid w:val="00412149"/>
    <w:rsid w:val="00476C55"/>
    <w:rsid w:val="00492F09"/>
    <w:rsid w:val="0055420B"/>
    <w:rsid w:val="005D3933"/>
    <w:rsid w:val="005F53E2"/>
    <w:rsid w:val="007F5EEE"/>
    <w:rsid w:val="008106BA"/>
    <w:rsid w:val="0094472B"/>
    <w:rsid w:val="00A01929"/>
    <w:rsid w:val="00A521FC"/>
    <w:rsid w:val="00A914BA"/>
    <w:rsid w:val="00AF2515"/>
    <w:rsid w:val="00BF6858"/>
    <w:rsid w:val="00F00B4C"/>
    <w:rsid w:val="00F94E0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1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Norm">
    <w:name w:val="Tableau Norm"/>
    <w:uiPriority w:val="99"/>
    <w:semiHidden/>
    <w:rsid w:val="000145AD"/>
    <w:rPr>
      <w:sz w:val="20"/>
      <w:szCs w:val="20"/>
      <w:lang w:eastAsia="en-US"/>
    </w:rPr>
    <w:tblPr>
      <w:tblInd w:w="0" w:type="dxa"/>
      <w:tblCellMar>
        <w:top w:w="0" w:type="dxa"/>
        <w:left w:w="108" w:type="dxa"/>
        <w:bottom w:w="0" w:type="dxa"/>
        <w:right w:w="108" w:type="dxa"/>
      </w:tblCellMar>
    </w:tblPr>
  </w:style>
  <w:style w:type="table" w:customStyle="1" w:styleId="TableauNorm3">
    <w:name w:val="Tableau Norm3"/>
    <w:uiPriority w:val="99"/>
    <w:semiHidden/>
    <w:rsid w:val="000C6566"/>
    <w:rPr>
      <w:sz w:val="20"/>
      <w:szCs w:val="20"/>
      <w:lang w:eastAsia="en-US"/>
    </w:rPr>
    <w:tblPr>
      <w:tblInd w:w="0" w:type="dxa"/>
      <w:tblCellMar>
        <w:top w:w="0" w:type="dxa"/>
        <w:left w:w="108" w:type="dxa"/>
        <w:bottom w:w="0" w:type="dxa"/>
        <w:right w:w="108" w:type="dxa"/>
      </w:tblCellMar>
    </w:tblPr>
  </w:style>
  <w:style w:type="table" w:customStyle="1" w:styleId="TableauNorm2">
    <w:name w:val="Tableau Norm2"/>
    <w:uiPriority w:val="99"/>
    <w:semiHidden/>
    <w:rsid w:val="00AF2515"/>
    <w:rPr>
      <w:sz w:val="20"/>
      <w:szCs w:val="20"/>
      <w:lang w:eastAsia="en-US"/>
    </w:rPr>
    <w:tblPr>
      <w:tblInd w:w="0" w:type="dxa"/>
      <w:tblCellMar>
        <w:top w:w="0" w:type="dxa"/>
        <w:left w:w="108" w:type="dxa"/>
        <w:bottom w:w="0" w:type="dxa"/>
        <w:right w:w="108" w:type="dxa"/>
      </w:tblCellMar>
    </w:tblPr>
  </w:style>
  <w:style w:type="table" w:customStyle="1" w:styleId="TableauNorm1">
    <w:name w:val="Tableau Norm1"/>
    <w:uiPriority w:val="99"/>
    <w:semiHidden/>
    <w:rsid w:val="00BF6858"/>
    <w:rPr>
      <w:sz w:val="20"/>
      <w:szCs w:val="20"/>
      <w:lang w:eastAsia="en-US"/>
    </w:rPr>
    <w:tblPr>
      <w:tblInd w:w="0" w:type="dxa"/>
      <w:tblCellMar>
        <w:top w:w="0" w:type="dxa"/>
        <w:left w:w="108" w:type="dxa"/>
        <w:bottom w:w="0" w:type="dxa"/>
        <w:right w:w="108" w:type="dxa"/>
      </w:tblCellMar>
    </w:tblPr>
  </w:style>
  <w:style w:type="paragraph" w:customStyle="1" w:styleId="ConsPlusNormal">
    <w:name w:val="ConsPlusNormal"/>
    <w:uiPriority w:val="99"/>
    <w:rsid w:val="00AF2515"/>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AF2515"/>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AF2515"/>
    <w:pPr>
      <w:widowControl w:val="0"/>
      <w:autoSpaceDE w:val="0"/>
      <w:autoSpaceDN w:val="0"/>
      <w:adjustRightInd w:val="0"/>
    </w:pPr>
    <w:rPr>
      <w:rFonts w:ascii="Arial" w:eastAsia="Times New Roman" w:hAnsi="Arial" w:cs="Arial"/>
      <w:b/>
      <w:bCs/>
      <w:sz w:val="16"/>
      <w:szCs w:val="16"/>
    </w:rPr>
  </w:style>
  <w:style w:type="paragraph" w:customStyle="1" w:styleId="ConsPlusCell">
    <w:name w:val="ConsPlusCell"/>
    <w:uiPriority w:val="99"/>
    <w:rsid w:val="00AF2515"/>
    <w:pPr>
      <w:widowControl w:val="0"/>
      <w:autoSpaceDE w:val="0"/>
      <w:autoSpaceDN w:val="0"/>
      <w:adjustRightInd w:val="0"/>
    </w:pPr>
    <w:rPr>
      <w:rFonts w:ascii="Arial" w:eastAsia="Times New Roman" w:hAnsi="Arial" w:cs="Arial"/>
      <w:sz w:val="20"/>
      <w:szCs w:val="20"/>
    </w:rPr>
  </w:style>
  <w:style w:type="paragraph" w:customStyle="1" w:styleId="En-tt">
    <w:name w:val="En-t_t"/>
    <w:basedOn w:val="Normal"/>
    <w:uiPriority w:val="99"/>
    <w:rsid w:val="00AF2515"/>
    <w:pPr>
      <w:tabs>
        <w:tab w:val="center" w:pos="4536"/>
        <w:tab w:val="right" w:pos="9072"/>
      </w:tabs>
    </w:pPr>
    <w:rPr>
      <w:rFonts w:eastAsia="Times New Roman"/>
      <w:lang w:eastAsia="fr-FR"/>
    </w:rPr>
  </w:style>
  <w:style w:type="character" w:customStyle="1" w:styleId="HeaderChar">
    <w:name w:val="Header Char"/>
    <w:uiPriority w:val="99"/>
    <w:rsid w:val="00AF2515"/>
    <w:rPr>
      <w:rFonts w:eastAsia="Times New Roman"/>
      <w:lang w:eastAsia="fr-FR"/>
    </w:rPr>
  </w:style>
  <w:style w:type="paragraph" w:customStyle="1" w:styleId="Piedd">
    <w:name w:val="Pied d"/>
    <w:basedOn w:val="Normal"/>
    <w:uiPriority w:val="99"/>
    <w:rsid w:val="00AF2515"/>
    <w:pPr>
      <w:tabs>
        <w:tab w:val="center" w:pos="4536"/>
        <w:tab w:val="right" w:pos="9072"/>
      </w:tabs>
    </w:pPr>
    <w:rPr>
      <w:rFonts w:eastAsia="Times New Roman"/>
      <w:lang w:eastAsia="fr-FR"/>
    </w:rPr>
  </w:style>
  <w:style w:type="character" w:customStyle="1" w:styleId="FooterChar">
    <w:name w:val="Footer Char"/>
    <w:uiPriority w:val="99"/>
    <w:rsid w:val="00AF2515"/>
    <w:rPr>
      <w:rFonts w:eastAsia="Times New Roman"/>
      <w:lang w:eastAsia="fr-FR"/>
    </w:rPr>
  </w:style>
  <w:style w:type="table" w:styleId="TableGrid">
    <w:name w:val="Table Grid"/>
    <w:basedOn w:val="TableauNorm2"/>
    <w:uiPriority w:val="99"/>
    <w:rsid w:val="00AF2515"/>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914B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16</Pages>
  <Words>3972</Words>
  <Characters>21850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Approuvée</dc:title>
  <dc:subject/>
  <dc:creator>KRIVOSHEEVA Inna</dc:creator>
  <cp:keywords/>
  <dc:description/>
  <cp:lastModifiedBy>marielle.pronesti</cp:lastModifiedBy>
  <cp:revision>2</cp:revision>
  <dcterms:created xsi:type="dcterms:W3CDTF">2014-07-08T10:38:00Z</dcterms:created>
  <dcterms:modified xsi:type="dcterms:W3CDTF">2014-07-08T10:38:00Z</dcterms:modified>
</cp:coreProperties>
</file>