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6DD" w:rsidRPr="00012C46" w:rsidRDefault="00D806DD" w:rsidP="00D806DD">
      <w:pPr>
        <w:spacing w:before="100" w:beforeAutospacing="1" w:after="100" w:afterAutospacing="1" w:line="240" w:lineRule="auto"/>
        <w:jc w:val="center"/>
        <w:rPr>
          <w:rFonts w:asciiTheme="majorBidi" w:eastAsia="Times New Roman" w:hAnsiTheme="majorBidi" w:cstheme="majorBidi"/>
          <w:sz w:val="24"/>
          <w:szCs w:val="24"/>
        </w:rPr>
      </w:pPr>
      <w:bookmarkStart w:id="0" w:name="_GoBack"/>
      <w:r w:rsidRPr="00012C46">
        <w:rPr>
          <w:rFonts w:asciiTheme="majorBidi" w:hAnsiTheme="majorBidi" w:cstheme="majorBidi"/>
          <w:b/>
          <w:color w:val="000000"/>
          <w:sz w:val="24"/>
        </w:rPr>
        <w:t>DECISION N°299 </w:t>
      </w:r>
    </w:p>
    <w:p w:rsidR="00585D0D" w:rsidRPr="00012C46" w:rsidRDefault="00D806DD" w:rsidP="00D806DD">
      <w:pPr>
        <w:spacing w:before="100" w:beforeAutospacing="1" w:after="100" w:afterAutospacing="1" w:line="240" w:lineRule="auto"/>
        <w:ind w:firstLine="709"/>
        <w:jc w:val="center"/>
        <w:rPr>
          <w:rFonts w:asciiTheme="majorBidi" w:eastAsia="Times New Roman" w:hAnsiTheme="majorBidi" w:cstheme="majorBidi"/>
          <w:b/>
          <w:bCs/>
          <w:color w:val="000000"/>
          <w:sz w:val="24"/>
          <w:szCs w:val="24"/>
        </w:rPr>
      </w:pPr>
      <w:r w:rsidRPr="00012C46">
        <w:rPr>
          <w:rFonts w:asciiTheme="majorBidi" w:hAnsiTheme="majorBidi" w:cstheme="majorBidi"/>
          <w:color w:val="000000"/>
          <w:sz w:val="24"/>
        </w:rPr>
        <w:t>du 28 mai 2010</w:t>
      </w:r>
    </w:p>
    <w:p w:rsidR="00D806DD" w:rsidRPr="00012C46" w:rsidRDefault="00D806DD" w:rsidP="00D806DD">
      <w:pPr>
        <w:spacing w:before="100" w:beforeAutospacing="1" w:after="100" w:afterAutospacing="1" w:line="240" w:lineRule="auto"/>
        <w:ind w:firstLine="709"/>
        <w:jc w:val="center"/>
        <w:rPr>
          <w:rFonts w:asciiTheme="majorBidi" w:eastAsia="Times New Roman" w:hAnsiTheme="majorBidi" w:cstheme="majorBidi"/>
          <w:color w:val="000000"/>
          <w:sz w:val="24"/>
          <w:szCs w:val="24"/>
        </w:rPr>
      </w:pPr>
      <w:r w:rsidRPr="00012C46">
        <w:rPr>
          <w:rFonts w:asciiTheme="majorBidi" w:hAnsiTheme="majorBidi" w:cstheme="majorBidi"/>
          <w:b/>
          <w:color w:val="000000"/>
          <w:sz w:val="24"/>
        </w:rPr>
        <w:t xml:space="preserve"> </w:t>
      </w:r>
      <w:r w:rsidRPr="00012C46">
        <w:rPr>
          <w:rFonts w:asciiTheme="majorBidi" w:hAnsiTheme="majorBidi" w:cstheme="majorBidi"/>
          <w:color w:val="000000"/>
          <w:sz w:val="24"/>
        </w:rPr>
        <w:t xml:space="preserve">à Saint-Pétersbourg </w:t>
      </w:r>
    </w:p>
    <w:p w:rsidR="00D806DD" w:rsidRPr="00012C46" w:rsidRDefault="00D806DD" w:rsidP="00D806DD">
      <w:pPr>
        <w:spacing w:before="100" w:beforeAutospacing="1" w:after="100" w:afterAutospacing="1" w:line="240" w:lineRule="auto"/>
        <w:ind w:firstLine="709"/>
        <w:jc w:val="center"/>
        <w:rPr>
          <w:rFonts w:asciiTheme="majorBidi" w:eastAsia="Times New Roman" w:hAnsiTheme="majorBidi" w:cstheme="majorBidi"/>
          <w:sz w:val="24"/>
          <w:szCs w:val="24"/>
        </w:rPr>
      </w:pPr>
      <w:r w:rsidRPr="00012C46">
        <w:rPr>
          <w:rFonts w:asciiTheme="majorBidi" w:hAnsiTheme="majorBidi" w:cstheme="majorBidi"/>
          <w:b/>
          <w:color w:val="000000"/>
          <w:sz w:val="24"/>
        </w:rPr>
        <w:t> </w:t>
      </w:r>
    </w:p>
    <w:p w:rsidR="00D806DD" w:rsidRPr="00012C46" w:rsidRDefault="00D806DD" w:rsidP="00D806DD">
      <w:pPr>
        <w:spacing w:before="100" w:beforeAutospacing="1" w:after="100" w:afterAutospacing="1" w:line="240" w:lineRule="auto"/>
        <w:jc w:val="center"/>
        <w:rPr>
          <w:rFonts w:asciiTheme="majorBidi" w:eastAsia="Times New Roman" w:hAnsiTheme="majorBidi" w:cstheme="majorBidi"/>
          <w:sz w:val="24"/>
          <w:szCs w:val="24"/>
        </w:rPr>
      </w:pPr>
      <w:r w:rsidRPr="00012C46">
        <w:rPr>
          <w:rFonts w:asciiTheme="majorBidi" w:hAnsiTheme="majorBidi" w:cstheme="majorBidi"/>
          <w:b/>
          <w:color w:val="000000"/>
          <w:sz w:val="24"/>
        </w:rPr>
        <w:t>Application des mesures sanitaires au sein de l'Union douanière</w:t>
      </w:r>
    </w:p>
    <w:p w:rsidR="00D806DD" w:rsidRPr="00012C46" w:rsidRDefault="00D806DD" w:rsidP="00D806DD">
      <w:pPr>
        <w:spacing w:before="100" w:beforeAutospacing="1" w:after="100" w:afterAutospacing="1" w:line="240" w:lineRule="auto"/>
        <w:ind w:firstLine="709"/>
        <w:jc w:val="both"/>
        <w:rPr>
          <w:rFonts w:asciiTheme="majorBidi" w:eastAsia="Times New Roman" w:hAnsiTheme="majorBidi" w:cstheme="majorBidi"/>
          <w:sz w:val="24"/>
          <w:szCs w:val="24"/>
        </w:rPr>
      </w:pPr>
      <w:r w:rsidRPr="00012C46">
        <w:rPr>
          <w:rFonts w:asciiTheme="majorBidi" w:hAnsiTheme="majorBidi" w:cstheme="majorBidi"/>
          <w:color w:val="000000"/>
          <w:sz w:val="24"/>
        </w:rPr>
        <w:t> </w:t>
      </w:r>
    </w:p>
    <w:p w:rsidR="00D806DD" w:rsidRPr="00012C46" w:rsidRDefault="00D806DD" w:rsidP="00D806DD">
      <w:pPr>
        <w:spacing w:before="100" w:beforeAutospacing="1" w:after="100" w:afterAutospacing="1" w:line="312" w:lineRule="auto"/>
        <w:ind w:firstLine="709"/>
        <w:jc w:val="both"/>
        <w:rPr>
          <w:rFonts w:asciiTheme="majorBidi" w:eastAsia="Times New Roman" w:hAnsiTheme="majorBidi" w:cstheme="majorBidi"/>
          <w:sz w:val="24"/>
          <w:szCs w:val="24"/>
        </w:rPr>
      </w:pPr>
      <w:r w:rsidRPr="00012C46">
        <w:rPr>
          <w:rFonts w:asciiTheme="majorBidi" w:hAnsiTheme="majorBidi" w:cstheme="majorBidi"/>
          <w:color w:val="000000"/>
          <w:sz w:val="24"/>
        </w:rPr>
        <w:t xml:space="preserve">La commission de l'Union douanière a </w:t>
      </w:r>
      <w:r w:rsidRPr="00012C46">
        <w:rPr>
          <w:rFonts w:asciiTheme="majorBidi" w:hAnsiTheme="majorBidi" w:cstheme="majorBidi"/>
          <w:b/>
          <w:color w:val="000000"/>
          <w:sz w:val="24"/>
        </w:rPr>
        <w:t>décidé</w:t>
      </w:r>
      <w:r w:rsidRPr="00012C46">
        <w:rPr>
          <w:rFonts w:asciiTheme="majorBidi" w:hAnsiTheme="majorBidi" w:cstheme="majorBidi"/>
          <w:color w:val="000000"/>
          <w:sz w:val="24"/>
        </w:rPr>
        <w:t xml:space="preserve"> :</w:t>
      </w:r>
    </w:p>
    <w:p w:rsidR="00D806DD" w:rsidRPr="00012C46" w:rsidRDefault="00D806DD" w:rsidP="00D806DD">
      <w:pPr>
        <w:spacing w:before="100" w:beforeAutospacing="1" w:after="100" w:afterAutospacing="1" w:line="312" w:lineRule="auto"/>
        <w:ind w:firstLine="709"/>
        <w:jc w:val="both"/>
        <w:rPr>
          <w:rFonts w:asciiTheme="majorBidi" w:eastAsia="Times New Roman" w:hAnsiTheme="majorBidi" w:cstheme="majorBidi"/>
          <w:sz w:val="24"/>
          <w:szCs w:val="24"/>
        </w:rPr>
      </w:pPr>
      <w:r w:rsidRPr="00012C46">
        <w:rPr>
          <w:rFonts w:asciiTheme="majorBidi" w:hAnsiTheme="majorBidi" w:cstheme="majorBidi"/>
          <w:color w:val="000000"/>
          <w:sz w:val="24"/>
        </w:rPr>
        <w:t>1. d'approuver :</w:t>
      </w:r>
    </w:p>
    <w:p w:rsidR="00D806DD" w:rsidRPr="00012C46" w:rsidRDefault="00D806DD" w:rsidP="00D806DD">
      <w:pPr>
        <w:spacing w:before="100" w:beforeAutospacing="1" w:after="100" w:afterAutospacing="1" w:line="312" w:lineRule="auto"/>
        <w:ind w:firstLine="709"/>
        <w:jc w:val="both"/>
        <w:rPr>
          <w:rFonts w:asciiTheme="majorBidi" w:eastAsia="Times New Roman" w:hAnsiTheme="majorBidi" w:cstheme="majorBidi"/>
          <w:color w:val="000000"/>
          <w:sz w:val="24"/>
          <w:szCs w:val="24"/>
        </w:rPr>
      </w:pPr>
      <w:r w:rsidRPr="00012C46">
        <w:rPr>
          <w:rFonts w:asciiTheme="majorBidi" w:hAnsiTheme="majorBidi" w:cstheme="majorBidi"/>
        </w:rPr>
        <w:t xml:space="preserve">- la Liste unique des marchandises assujetties à surveillance (contrôle) sanitaire et épidémiologique à la frontière douanière et sur le territoire douanier de l'Union douanière (ci-après désignée Liste unique, </w:t>
      </w:r>
      <w:hyperlink r:id="rId7" w:history="1">
        <w:r w:rsidRPr="00012C46">
          <w:rPr>
            <w:rFonts w:asciiTheme="majorBidi" w:hAnsiTheme="majorBidi" w:cstheme="majorBidi"/>
            <w:color w:val="0000FF"/>
            <w:sz w:val="24"/>
            <w:u w:val="single"/>
          </w:rPr>
          <w:t>Annexe N°1</w:t>
        </w:r>
      </w:hyperlink>
      <w:r w:rsidRPr="00012C46">
        <w:rPr>
          <w:rFonts w:asciiTheme="majorBidi" w:hAnsiTheme="majorBidi" w:cstheme="majorBidi"/>
        </w:rPr>
        <w:t>) ;</w:t>
      </w:r>
    </w:p>
    <w:p w:rsidR="00D806DD" w:rsidRPr="00012C46" w:rsidRDefault="00D806DD" w:rsidP="00D806DD">
      <w:pPr>
        <w:spacing w:before="100" w:beforeAutospacing="1" w:after="100" w:afterAutospacing="1" w:line="312" w:lineRule="auto"/>
        <w:ind w:firstLine="709"/>
        <w:jc w:val="both"/>
        <w:rPr>
          <w:rFonts w:asciiTheme="majorBidi" w:eastAsia="Times New Roman" w:hAnsiTheme="majorBidi" w:cstheme="majorBidi"/>
          <w:color w:val="000000"/>
          <w:sz w:val="24"/>
          <w:szCs w:val="24"/>
        </w:rPr>
      </w:pPr>
      <w:r w:rsidRPr="00012C46">
        <w:rPr>
          <w:rFonts w:asciiTheme="majorBidi" w:hAnsiTheme="majorBidi" w:cstheme="majorBidi"/>
        </w:rPr>
        <w:t xml:space="preserve">- les Exigences sanitaires, épidémiologiques et hygiéniques communes applicables aux marchandises assujetties à surveillance (contrôle) sanitaire et épidémiologique (ci-après désignées les Exigences sanitaires communes, </w:t>
      </w:r>
      <w:hyperlink r:id="rId8" w:history="1">
        <w:r w:rsidRPr="00012C46">
          <w:rPr>
            <w:rFonts w:asciiTheme="majorBidi" w:hAnsiTheme="majorBidi" w:cstheme="majorBidi"/>
            <w:color w:val="0000FF"/>
            <w:sz w:val="24"/>
            <w:u w:val="single"/>
          </w:rPr>
          <w:t>Annexe N°2</w:t>
        </w:r>
      </w:hyperlink>
      <w:r w:rsidRPr="00012C46">
        <w:rPr>
          <w:rFonts w:asciiTheme="majorBidi" w:hAnsiTheme="majorBidi" w:cstheme="majorBidi"/>
        </w:rPr>
        <w:t>) ;</w:t>
      </w:r>
    </w:p>
    <w:p w:rsidR="00D806DD" w:rsidRPr="00012C46" w:rsidRDefault="00D806DD" w:rsidP="00D806DD">
      <w:pPr>
        <w:spacing w:before="100" w:beforeAutospacing="1" w:after="100" w:afterAutospacing="1" w:line="312" w:lineRule="auto"/>
        <w:ind w:firstLine="709"/>
        <w:jc w:val="both"/>
        <w:rPr>
          <w:rFonts w:asciiTheme="majorBidi" w:eastAsia="Times New Roman" w:hAnsiTheme="majorBidi" w:cstheme="majorBidi"/>
          <w:color w:val="000000"/>
          <w:sz w:val="24"/>
          <w:szCs w:val="24"/>
        </w:rPr>
      </w:pPr>
      <w:r w:rsidRPr="00012C46">
        <w:rPr>
          <w:rFonts w:asciiTheme="majorBidi" w:hAnsiTheme="majorBidi" w:cstheme="majorBidi"/>
        </w:rPr>
        <w:t>- les Modèles uniques de documents attestant la sécurité d'un produit (de marchandises), (</w:t>
      </w:r>
      <w:hyperlink r:id="rId9" w:history="1">
        <w:r w:rsidRPr="00012C46">
          <w:rPr>
            <w:rFonts w:asciiTheme="majorBidi" w:hAnsiTheme="majorBidi" w:cstheme="majorBidi"/>
            <w:color w:val="0000FF"/>
            <w:sz w:val="24"/>
            <w:u w:val="single"/>
          </w:rPr>
          <w:t>Annexe 3</w:t>
        </w:r>
      </w:hyperlink>
      <w:r w:rsidRPr="00012C46">
        <w:rPr>
          <w:rFonts w:asciiTheme="majorBidi" w:hAnsiTheme="majorBidi" w:cstheme="majorBidi"/>
        </w:rPr>
        <w:t>);</w:t>
      </w:r>
    </w:p>
    <w:p w:rsidR="00D806DD" w:rsidRPr="00012C46" w:rsidRDefault="00D806DD" w:rsidP="00D806DD">
      <w:pPr>
        <w:spacing w:before="100" w:beforeAutospacing="1" w:after="100" w:afterAutospacing="1" w:line="312" w:lineRule="auto"/>
        <w:ind w:firstLine="709"/>
        <w:jc w:val="both"/>
        <w:rPr>
          <w:rFonts w:asciiTheme="majorBidi" w:eastAsia="Times New Roman" w:hAnsiTheme="majorBidi" w:cstheme="majorBidi"/>
          <w:color w:val="000000"/>
          <w:sz w:val="24"/>
          <w:szCs w:val="24"/>
        </w:rPr>
      </w:pPr>
      <w:r w:rsidRPr="00012C46">
        <w:rPr>
          <w:rFonts w:asciiTheme="majorBidi" w:hAnsiTheme="majorBidi" w:cstheme="majorBidi"/>
        </w:rPr>
        <w:t>- le Règlement relatif à la procédure de l’application de la surveillance (du contrôle) sanitaire et épidémiologique des personnes et des moyens de transport traversant la frontière douanière de l'Union douanière, ainsi que des marchandises assujetties au contrôle circulant par la frontière douanière de l'Union douanière ou sur le territoire douanier de l'Union douanière (</w:t>
      </w:r>
      <w:hyperlink r:id="rId10" w:history="1">
        <w:r w:rsidRPr="00012C46">
          <w:rPr>
            <w:rFonts w:asciiTheme="majorBidi" w:hAnsiTheme="majorBidi" w:cstheme="majorBidi"/>
            <w:color w:val="0000FF"/>
            <w:sz w:val="24"/>
            <w:u w:val="single"/>
          </w:rPr>
          <w:t>Annexe N°4</w:t>
        </w:r>
      </w:hyperlink>
      <w:r w:rsidRPr="00012C46">
        <w:rPr>
          <w:rFonts w:asciiTheme="majorBidi" w:hAnsiTheme="majorBidi" w:cstheme="majorBidi"/>
        </w:rPr>
        <w:t>.)</w:t>
      </w:r>
    </w:p>
    <w:p w:rsidR="00D806DD" w:rsidRPr="00012C46" w:rsidRDefault="00D806DD" w:rsidP="00D806DD">
      <w:pPr>
        <w:spacing w:before="100" w:beforeAutospacing="1" w:after="100" w:afterAutospacing="1" w:line="312" w:lineRule="auto"/>
        <w:ind w:firstLine="709"/>
        <w:jc w:val="both"/>
        <w:rPr>
          <w:rFonts w:asciiTheme="majorBidi" w:eastAsia="Times New Roman" w:hAnsiTheme="majorBidi" w:cstheme="majorBidi"/>
          <w:color w:val="000000"/>
          <w:sz w:val="24"/>
          <w:szCs w:val="24"/>
        </w:rPr>
      </w:pPr>
      <w:r w:rsidRPr="00012C46">
        <w:rPr>
          <w:rFonts w:asciiTheme="majorBidi" w:hAnsiTheme="majorBidi" w:cstheme="majorBidi"/>
          <w:color w:val="000000"/>
          <w:sz w:val="24"/>
        </w:rPr>
        <w:t>2. Les gouvernements de la République de Biélorussie, de la République du Kazakhstan et de la Fédération de Russie s’engagent à appliquer la Liste unique des marchandises et les Exigences sanitaires communes à compter du 1er juillet 2010.</w:t>
      </w:r>
    </w:p>
    <w:p w:rsidR="00D806DD" w:rsidRPr="00012C46" w:rsidRDefault="00D806DD" w:rsidP="00D806DD">
      <w:pPr>
        <w:spacing w:before="100" w:beforeAutospacing="1" w:after="100" w:afterAutospacing="1" w:line="312" w:lineRule="auto"/>
        <w:ind w:firstLine="709"/>
        <w:jc w:val="both"/>
        <w:rPr>
          <w:rFonts w:asciiTheme="majorBidi" w:eastAsia="Times New Roman" w:hAnsiTheme="majorBidi" w:cstheme="majorBidi"/>
          <w:color w:val="000000"/>
          <w:sz w:val="24"/>
          <w:szCs w:val="24"/>
        </w:rPr>
      </w:pPr>
      <w:r w:rsidRPr="00012C46">
        <w:rPr>
          <w:rFonts w:asciiTheme="majorBidi" w:hAnsiTheme="majorBidi" w:cstheme="majorBidi"/>
          <w:color w:val="000000"/>
          <w:sz w:val="24"/>
        </w:rPr>
        <w:t>3. Les organismes de contrôle autorisés de la République de Biélorussie, de la République du Kazakhstan et de la Fédération de Russie doivent procéder à compter du 1er juillet 2010 : </w:t>
      </w:r>
    </w:p>
    <w:p w:rsidR="00D806DD" w:rsidRPr="00012C46" w:rsidRDefault="00D806DD" w:rsidP="00D806DD">
      <w:pPr>
        <w:spacing w:before="100" w:beforeAutospacing="1" w:after="100" w:afterAutospacing="1" w:line="312" w:lineRule="auto"/>
        <w:ind w:firstLine="709"/>
        <w:jc w:val="both"/>
        <w:rPr>
          <w:rFonts w:asciiTheme="majorBidi" w:eastAsia="Times New Roman" w:hAnsiTheme="majorBidi" w:cstheme="majorBidi"/>
          <w:color w:val="000000"/>
          <w:sz w:val="24"/>
          <w:szCs w:val="24"/>
        </w:rPr>
      </w:pPr>
      <w:r w:rsidRPr="00012C46">
        <w:rPr>
          <w:rFonts w:asciiTheme="majorBidi" w:hAnsiTheme="majorBidi" w:cstheme="majorBidi"/>
        </w:rPr>
        <w:t xml:space="preserve">à la délivrance des certificats d'enregistrement national conformément à </w:t>
      </w:r>
      <w:hyperlink r:id="rId11" w:history="1">
        <w:r w:rsidRPr="00012C46">
          <w:rPr>
            <w:rFonts w:asciiTheme="majorBidi" w:hAnsiTheme="majorBidi" w:cstheme="majorBidi"/>
            <w:color w:val="0000FF"/>
            <w:sz w:val="24"/>
            <w:u w:val="single"/>
          </w:rPr>
          <w:t>l’Annexe N°3</w:t>
        </w:r>
      </w:hyperlink>
      <w:r w:rsidRPr="00012C46">
        <w:rPr>
          <w:rFonts w:asciiTheme="majorBidi" w:hAnsiTheme="majorBidi" w:cstheme="majorBidi"/>
        </w:rPr>
        <w:t xml:space="preserve"> à la présente Décision ;</w:t>
      </w:r>
    </w:p>
    <w:p w:rsidR="00D806DD" w:rsidRPr="00012C46" w:rsidRDefault="00D806DD" w:rsidP="00D806DD">
      <w:pPr>
        <w:spacing w:before="100" w:beforeAutospacing="1" w:after="100" w:afterAutospacing="1" w:line="312" w:lineRule="auto"/>
        <w:ind w:firstLine="709"/>
        <w:jc w:val="both"/>
        <w:rPr>
          <w:rFonts w:asciiTheme="majorBidi" w:eastAsia="Times New Roman" w:hAnsiTheme="majorBidi" w:cstheme="majorBidi"/>
          <w:color w:val="000000"/>
          <w:sz w:val="24"/>
          <w:szCs w:val="24"/>
        </w:rPr>
      </w:pPr>
      <w:r w:rsidRPr="00012C46">
        <w:rPr>
          <w:rFonts w:asciiTheme="majorBidi" w:hAnsiTheme="majorBidi" w:cstheme="majorBidi"/>
        </w:rPr>
        <w:lastRenderedPageBreak/>
        <w:t xml:space="preserve">au contrôle sanitaire et épidémiologique à la frontière douanière et sur le territoire douanier de l'Union douanière conformément à </w:t>
      </w:r>
      <w:hyperlink r:id="rId12" w:history="1">
        <w:r w:rsidRPr="00012C46">
          <w:rPr>
            <w:rFonts w:asciiTheme="majorBidi" w:hAnsiTheme="majorBidi" w:cstheme="majorBidi"/>
            <w:color w:val="0000FF"/>
            <w:sz w:val="24"/>
            <w:u w:val="single"/>
          </w:rPr>
          <w:t>l'Annexe N°4</w:t>
        </w:r>
      </w:hyperlink>
      <w:r w:rsidRPr="00012C46">
        <w:rPr>
          <w:rFonts w:asciiTheme="majorBidi" w:hAnsiTheme="majorBidi" w:cstheme="majorBidi"/>
        </w:rPr>
        <w:t xml:space="preserve"> de la présente Décision.</w:t>
      </w:r>
    </w:p>
    <w:p w:rsidR="00D806DD" w:rsidRPr="00012C46" w:rsidRDefault="00D806DD" w:rsidP="00D806DD">
      <w:pPr>
        <w:spacing w:before="100" w:beforeAutospacing="1" w:after="100" w:afterAutospacing="1" w:line="312" w:lineRule="auto"/>
        <w:ind w:firstLine="709"/>
        <w:jc w:val="both"/>
        <w:rPr>
          <w:rFonts w:asciiTheme="majorBidi" w:eastAsia="Times New Roman" w:hAnsiTheme="majorBidi" w:cstheme="majorBidi"/>
          <w:color w:val="000000"/>
          <w:sz w:val="24"/>
          <w:szCs w:val="24"/>
        </w:rPr>
      </w:pPr>
      <w:r w:rsidRPr="00012C46">
        <w:rPr>
          <w:rFonts w:asciiTheme="majorBidi" w:hAnsiTheme="majorBidi" w:cstheme="majorBidi"/>
          <w:color w:val="000000"/>
          <w:sz w:val="24"/>
        </w:rPr>
        <w:t>4. Les Parties doivent avant le 1er juin 2010 présenter au Secrétariat de la Commission de l'Union douanière les informations sur :</w:t>
      </w:r>
    </w:p>
    <w:p w:rsidR="00D806DD" w:rsidRPr="00012C46" w:rsidRDefault="00D806DD" w:rsidP="00D806DD">
      <w:pPr>
        <w:spacing w:before="100" w:beforeAutospacing="1" w:after="100" w:afterAutospacing="1" w:line="312" w:lineRule="auto"/>
        <w:ind w:firstLine="709"/>
        <w:jc w:val="both"/>
        <w:rPr>
          <w:rFonts w:asciiTheme="majorBidi" w:eastAsia="Times New Roman" w:hAnsiTheme="majorBidi" w:cstheme="majorBidi"/>
          <w:color w:val="000000"/>
          <w:sz w:val="24"/>
          <w:szCs w:val="24"/>
        </w:rPr>
      </w:pPr>
      <w:r w:rsidRPr="00012C46">
        <w:rPr>
          <w:rFonts w:asciiTheme="majorBidi" w:hAnsiTheme="majorBidi" w:cstheme="majorBidi"/>
          <w:color w:val="000000"/>
          <w:sz w:val="24"/>
        </w:rPr>
        <w:t>4.1. les organismes de contrôle autorisés à mettre en œuvre des mesures sanitaires ;</w:t>
      </w:r>
    </w:p>
    <w:p w:rsidR="00D806DD" w:rsidRPr="00012C46" w:rsidRDefault="00D806DD" w:rsidP="00D806DD">
      <w:pPr>
        <w:spacing w:before="100" w:beforeAutospacing="1" w:after="100" w:afterAutospacing="1" w:line="312" w:lineRule="auto"/>
        <w:ind w:firstLine="709"/>
        <w:jc w:val="both"/>
        <w:rPr>
          <w:rFonts w:asciiTheme="majorBidi" w:eastAsia="Times New Roman" w:hAnsiTheme="majorBidi" w:cstheme="majorBidi"/>
          <w:color w:val="000000"/>
          <w:sz w:val="24"/>
          <w:szCs w:val="24"/>
        </w:rPr>
      </w:pPr>
      <w:r w:rsidRPr="00012C46">
        <w:rPr>
          <w:rFonts w:asciiTheme="majorBidi" w:hAnsiTheme="majorBidi" w:cstheme="majorBidi"/>
          <w:color w:val="000000"/>
          <w:sz w:val="24"/>
        </w:rPr>
        <w:t>4.2. les listes des zones de quarantaine sanitaire aux points d’entrée de la frontière douanière de l'Union douanière ;</w:t>
      </w:r>
    </w:p>
    <w:p w:rsidR="00D806DD" w:rsidRPr="00012C46" w:rsidRDefault="00D806DD" w:rsidP="00D806DD">
      <w:pPr>
        <w:spacing w:before="100" w:beforeAutospacing="1" w:after="100" w:afterAutospacing="1" w:line="312" w:lineRule="auto"/>
        <w:ind w:firstLine="709"/>
        <w:jc w:val="both"/>
        <w:rPr>
          <w:rFonts w:asciiTheme="majorBidi" w:eastAsia="Times New Roman" w:hAnsiTheme="majorBidi" w:cstheme="majorBidi"/>
          <w:color w:val="000000"/>
          <w:sz w:val="24"/>
          <w:szCs w:val="24"/>
        </w:rPr>
      </w:pPr>
      <w:r w:rsidRPr="00012C46">
        <w:rPr>
          <w:rFonts w:asciiTheme="majorBidi" w:hAnsiTheme="majorBidi" w:cstheme="majorBidi"/>
          <w:color w:val="000000"/>
          <w:sz w:val="24"/>
        </w:rPr>
        <w:t>4.3. les listes et les modèles des documents attestant la sécurité d'un produit (de marchandises) à compter du 1er juillet 2010.</w:t>
      </w:r>
    </w:p>
    <w:p w:rsidR="00D806DD" w:rsidRPr="00012C46" w:rsidRDefault="00D806DD" w:rsidP="00D806DD">
      <w:pPr>
        <w:spacing w:before="100" w:beforeAutospacing="1" w:after="100" w:afterAutospacing="1" w:line="312" w:lineRule="auto"/>
        <w:ind w:firstLine="709"/>
        <w:jc w:val="both"/>
        <w:rPr>
          <w:rFonts w:asciiTheme="majorBidi" w:eastAsia="Times New Roman" w:hAnsiTheme="majorBidi" w:cstheme="majorBidi"/>
          <w:color w:val="000000"/>
          <w:sz w:val="24"/>
          <w:szCs w:val="24"/>
        </w:rPr>
      </w:pPr>
      <w:r w:rsidRPr="00012C46">
        <w:rPr>
          <w:rFonts w:asciiTheme="majorBidi" w:hAnsiTheme="majorBidi" w:cstheme="majorBidi"/>
          <w:color w:val="000000"/>
          <w:sz w:val="24"/>
        </w:rPr>
        <w:t>5. Le secrétariat de la Commission de l'Union douanière doit faire parvenir aux Parties avant le 10 juin 2010 les informations recueillies conformément au point 4 de la présente Décision.</w:t>
      </w:r>
    </w:p>
    <w:p w:rsidR="00D806DD" w:rsidRPr="00012C46" w:rsidRDefault="00D806DD" w:rsidP="00D806DD">
      <w:pPr>
        <w:tabs>
          <w:tab w:val="left" w:pos="993"/>
        </w:tabs>
        <w:spacing w:before="100" w:beforeAutospacing="1" w:after="100" w:afterAutospacing="1" w:line="336" w:lineRule="auto"/>
        <w:ind w:firstLine="720"/>
        <w:jc w:val="both"/>
        <w:rPr>
          <w:rFonts w:asciiTheme="majorBidi" w:eastAsia="Times New Roman" w:hAnsiTheme="majorBidi" w:cstheme="majorBidi"/>
          <w:color w:val="000000"/>
          <w:sz w:val="24"/>
          <w:szCs w:val="24"/>
        </w:rPr>
      </w:pPr>
      <w:r w:rsidRPr="00012C46">
        <w:rPr>
          <w:rFonts w:asciiTheme="majorBidi" w:hAnsiTheme="majorBidi" w:cstheme="majorBidi"/>
          <w:color w:val="000000"/>
          <w:sz w:val="24"/>
        </w:rPr>
        <w:t xml:space="preserve">6. Les points 1, 2 et 3 de la présente </w:t>
      </w:r>
      <w:r w:rsidR="00855EE2" w:rsidRPr="00012C46">
        <w:rPr>
          <w:rFonts w:asciiTheme="majorBidi" w:hAnsiTheme="majorBidi" w:cstheme="majorBidi"/>
          <w:color w:val="000000"/>
          <w:sz w:val="24"/>
        </w:rPr>
        <w:t>Décision</w:t>
      </w:r>
      <w:r w:rsidRPr="00012C46">
        <w:rPr>
          <w:rFonts w:asciiTheme="majorBidi" w:hAnsiTheme="majorBidi" w:cstheme="majorBidi"/>
          <w:color w:val="000000"/>
          <w:sz w:val="24"/>
        </w:rPr>
        <w:t xml:space="preserve"> entreront en vigueur à compter du 1er juillet 2010.</w:t>
      </w:r>
    </w:p>
    <w:p w:rsidR="00D806DD" w:rsidRPr="00012C46" w:rsidRDefault="00D806DD" w:rsidP="00D806DD">
      <w:pPr>
        <w:spacing w:before="100" w:beforeAutospacing="1" w:after="100" w:afterAutospacing="1" w:line="360" w:lineRule="auto"/>
        <w:ind w:right="279" w:firstLine="709"/>
        <w:jc w:val="center"/>
        <w:rPr>
          <w:rFonts w:asciiTheme="majorBidi" w:eastAsia="Times New Roman" w:hAnsiTheme="majorBidi" w:cstheme="majorBidi"/>
          <w:sz w:val="24"/>
          <w:szCs w:val="24"/>
        </w:rPr>
      </w:pPr>
      <w:r w:rsidRPr="00012C46">
        <w:rPr>
          <w:rFonts w:asciiTheme="majorBidi" w:hAnsiTheme="majorBidi" w:cstheme="majorBidi"/>
          <w:b/>
          <w:color w:val="000000"/>
          <w:sz w:val="24"/>
        </w:rPr>
        <w:t> </w:t>
      </w:r>
    </w:p>
    <w:p w:rsidR="00D806DD" w:rsidRPr="00012C46" w:rsidRDefault="00D806DD" w:rsidP="00D806DD">
      <w:pPr>
        <w:spacing w:before="100" w:beforeAutospacing="1" w:after="100" w:afterAutospacing="1" w:line="360" w:lineRule="auto"/>
        <w:ind w:right="279" w:firstLine="709"/>
        <w:jc w:val="center"/>
        <w:rPr>
          <w:rFonts w:asciiTheme="majorBidi" w:eastAsia="Times New Roman" w:hAnsiTheme="majorBidi" w:cstheme="majorBidi"/>
          <w:sz w:val="24"/>
          <w:szCs w:val="24"/>
        </w:rPr>
      </w:pPr>
      <w:r w:rsidRPr="00012C46">
        <w:rPr>
          <w:rFonts w:asciiTheme="majorBidi" w:hAnsiTheme="majorBidi" w:cstheme="majorBidi"/>
          <w:b/>
          <w:color w:val="000000"/>
          <w:sz w:val="24"/>
        </w:rPr>
        <w:t>Les membres de la Commission de l'union douanière :</w:t>
      </w:r>
    </w:p>
    <w:tbl>
      <w:tblPr>
        <w:tblW w:w="0" w:type="auto"/>
        <w:jc w:val="center"/>
        <w:tblCellMar>
          <w:left w:w="0" w:type="dxa"/>
          <w:right w:w="0" w:type="dxa"/>
        </w:tblCellMar>
        <w:tblLook w:val="04A0" w:firstRow="1" w:lastRow="0" w:firstColumn="1" w:lastColumn="0" w:noHBand="0" w:noVBand="1"/>
      </w:tblPr>
      <w:tblGrid>
        <w:gridCol w:w="3014"/>
        <w:gridCol w:w="3420"/>
        <w:gridCol w:w="2854"/>
      </w:tblGrid>
      <w:tr w:rsidR="00D806DD" w:rsidRPr="00012C46" w:rsidTr="00D806DD">
        <w:trPr>
          <w:jc w:val="center"/>
        </w:trPr>
        <w:tc>
          <w:tcPr>
            <w:tcW w:w="3240" w:type="dxa"/>
            <w:tcMar>
              <w:top w:w="0" w:type="dxa"/>
              <w:left w:w="108" w:type="dxa"/>
              <w:bottom w:w="0" w:type="dxa"/>
              <w:right w:w="108" w:type="dxa"/>
            </w:tcMar>
            <w:hideMark/>
          </w:tcPr>
          <w:p w:rsidR="00D806DD" w:rsidRPr="00012C46" w:rsidRDefault="00D806DD" w:rsidP="00D806DD">
            <w:pPr>
              <w:spacing w:before="100" w:beforeAutospacing="1" w:after="100" w:afterAutospacing="1" w:line="240" w:lineRule="auto"/>
              <w:ind w:firstLine="709"/>
              <w:jc w:val="center"/>
              <w:rPr>
                <w:rFonts w:asciiTheme="majorBidi" w:eastAsia="Times New Roman" w:hAnsiTheme="majorBidi" w:cstheme="majorBidi"/>
                <w:sz w:val="24"/>
                <w:szCs w:val="24"/>
              </w:rPr>
            </w:pPr>
            <w:r w:rsidRPr="00012C46">
              <w:rPr>
                <w:rFonts w:asciiTheme="majorBidi" w:hAnsiTheme="majorBidi" w:cstheme="majorBidi"/>
                <w:b/>
                <w:sz w:val="24"/>
              </w:rPr>
              <w:t xml:space="preserve">Pour la République de </w:t>
            </w:r>
            <w:r w:rsidRPr="00012C46">
              <w:rPr>
                <w:rFonts w:asciiTheme="majorBidi" w:eastAsia="Times New Roman" w:hAnsiTheme="majorBidi" w:cstheme="majorBidi"/>
                <w:b/>
                <w:bCs/>
                <w:sz w:val="24"/>
                <w:szCs w:val="24"/>
              </w:rPr>
              <w:br/>
            </w:r>
            <w:r w:rsidRPr="00012C46">
              <w:rPr>
                <w:rFonts w:asciiTheme="majorBidi" w:hAnsiTheme="majorBidi" w:cstheme="majorBidi"/>
                <w:b/>
                <w:sz w:val="24"/>
              </w:rPr>
              <w:t>          Biélorussie</w:t>
            </w:r>
          </w:p>
        </w:tc>
        <w:tc>
          <w:tcPr>
            <w:tcW w:w="3709" w:type="dxa"/>
            <w:tcMar>
              <w:top w:w="0" w:type="dxa"/>
              <w:left w:w="108" w:type="dxa"/>
              <w:bottom w:w="0" w:type="dxa"/>
              <w:right w:w="108" w:type="dxa"/>
            </w:tcMar>
            <w:hideMark/>
          </w:tcPr>
          <w:p w:rsidR="00D806DD" w:rsidRPr="00012C46" w:rsidRDefault="00D806DD" w:rsidP="00D806DD">
            <w:pPr>
              <w:spacing w:before="100" w:beforeAutospacing="1" w:after="100" w:afterAutospacing="1" w:line="240" w:lineRule="auto"/>
              <w:ind w:firstLine="709"/>
              <w:jc w:val="center"/>
              <w:rPr>
                <w:rFonts w:asciiTheme="majorBidi" w:eastAsia="Times New Roman" w:hAnsiTheme="majorBidi" w:cstheme="majorBidi"/>
                <w:sz w:val="24"/>
                <w:szCs w:val="24"/>
              </w:rPr>
            </w:pPr>
            <w:r w:rsidRPr="00012C46">
              <w:rPr>
                <w:rFonts w:asciiTheme="majorBidi" w:hAnsiTheme="majorBidi" w:cstheme="majorBidi"/>
                <w:b/>
                <w:sz w:val="24"/>
              </w:rPr>
              <w:t xml:space="preserve">Pour la République du </w:t>
            </w:r>
            <w:r w:rsidRPr="00012C46">
              <w:rPr>
                <w:rFonts w:asciiTheme="majorBidi" w:eastAsia="Times New Roman" w:hAnsiTheme="majorBidi" w:cstheme="majorBidi"/>
                <w:b/>
                <w:bCs/>
                <w:sz w:val="24"/>
                <w:szCs w:val="24"/>
              </w:rPr>
              <w:br/>
            </w:r>
            <w:r w:rsidRPr="00012C46">
              <w:rPr>
                <w:rFonts w:asciiTheme="majorBidi" w:hAnsiTheme="majorBidi" w:cstheme="majorBidi"/>
                <w:b/>
                <w:sz w:val="24"/>
              </w:rPr>
              <w:t>          Kazakhstan</w:t>
            </w:r>
          </w:p>
        </w:tc>
        <w:tc>
          <w:tcPr>
            <w:tcW w:w="3131" w:type="dxa"/>
            <w:tcMar>
              <w:top w:w="0" w:type="dxa"/>
              <w:left w:w="108" w:type="dxa"/>
              <w:bottom w:w="0" w:type="dxa"/>
              <w:right w:w="108" w:type="dxa"/>
            </w:tcMar>
            <w:hideMark/>
          </w:tcPr>
          <w:p w:rsidR="00D806DD" w:rsidRPr="00012C46" w:rsidRDefault="00D806DD" w:rsidP="00D806DD">
            <w:pPr>
              <w:spacing w:before="100" w:beforeAutospacing="1" w:after="100" w:afterAutospacing="1" w:line="240" w:lineRule="auto"/>
              <w:ind w:firstLine="709"/>
              <w:jc w:val="center"/>
              <w:rPr>
                <w:rFonts w:asciiTheme="majorBidi" w:eastAsia="Times New Roman" w:hAnsiTheme="majorBidi" w:cstheme="majorBidi"/>
                <w:sz w:val="24"/>
                <w:szCs w:val="24"/>
              </w:rPr>
            </w:pPr>
            <w:r w:rsidRPr="00012C46">
              <w:rPr>
                <w:rFonts w:asciiTheme="majorBidi" w:hAnsiTheme="majorBidi" w:cstheme="majorBidi"/>
                <w:b/>
                <w:sz w:val="24"/>
              </w:rPr>
              <w:t xml:space="preserve">Pour la Fédération de </w:t>
            </w:r>
            <w:r w:rsidRPr="00012C46">
              <w:rPr>
                <w:rFonts w:asciiTheme="majorBidi" w:eastAsia="Times New Roman" w:hAnsiTheme="majorBidi" w:cstheme="majorBidi"/>
                <w:b/>
                <w:bCs/>
                <w:sz w:val="24"/>
                <w:szCs w:val="24"/>
              </w:rPr>
              <w:br/>
            </w:r>
            <w:r w:rsidRPr="00012C46">
              <w:rPr>
                <w:rFonts w:asciiTheme="majorBidi" w:hAnsiTheme="majorBidi" w:cstheme="majorBidi"/>
                <w:b/>
                <w:sz w:val="24"/>
              </w:rPr>
              <w:t>          Russie</w:t>
            </w:r>
          </w:p>
        </w:tc>
      </w:tr>
      <w:tr w:rsidR="00D806DD" w:rsidRPr="00012C46" w:rsidTr="00D806DD">
        <w:trPr>
          <w:jc w:val="center"/>
        </w:trPr>
        <w:tc>
          <w:tcPr>
            <w:tcW w:w="3240" w:type="dxa"/>
            <w:tcMar>
              <w:top w:w="0" w:type="dxa"/>
              <w:left w:w="108" w:type="dxa"/>
              <w:bottom w:w="0" w:type="dxa"/>
              <w:right w:w="108" w:type="dxa"/>
            </w:tcMar>
            <w:hideMark/>
          </w:tcPr>
          <w:p w:rsidR="00D806DD" w:rsidRPr="00012C46" w:rsidRDefault="00D806DD" w:rsidP="00D806DD">
            <w:pPr>
              <w:spacing w:before="120" w:after="100" w:afterAutospacing="1" w:line="240" w:lineRule="auto"/>
              <w:ind w:firstLine="709"/>
              <w:jc w:val="center"/>
              <w:rPr>
                <w:rFonts w:asciiTheme="majorBidi" w:eastAsia="Times New Roman" w:hAnsiTheme="majorBidi" w:cstheme="majorBidi"/>
                <w:sz w:val="24"/>
                <w:szCs w:val="24"/>
              </w:rPr>
            </w:pPr>
            <w:r w:rsidRPr="00012C46">
              <w:rPr>
                <w:rFonts w:asciiTheme="majorBidi" w:hAnsiTheme="majorBidi" w:cstheme="majorBidi"/>
                <w:b/>
                <w:sz w:val="24"/>
              </w:rPr>
              <w:t> </w:t>
            </w:r>
          </w:p>
          <w:p w:rsidR="00D806DD" w:rsidRPr="00012C46" w:rsidRDefault="00D806DD" w:rsidP="00D806DD">
            <w:pPr>
              <w:spacing w:before="120" w:after="100" w:afterAutospacing="1" w:line="240" w:lineRule="auto"/>
              <w:ind w:firstLine="709"/>
              <w:jc w:val="center"/>
              <w:rPr>
                <w:rFonts w:asciiTheme="majorBidi" w:eastAsia="Times New Roman" w:hAnsiTheme="majorBidi" w:cstheme="majorBidi"/>
                <w:sz w:val="24"/>
                <w:szCs w:val="24"/>
              </w:rPr>
            </w:pPr>
            <w:r w:rsidRPr="00012C46">
              <w:rPr>
                <w:rFonts w:asciiTheme="majorBidi" w:hAnsiTheme="majorBidi" w:cstheme="majorBidi"/>
                <w:b/>
                <w:sz w:val="24"/>
              </w:rPr>
              <w:t>A. Kobiakov</w:t>
            </w:r>
          </w:p>
        </w:tc>
        <w:tc>
          <w:tcPr>
            <w:tcW w:w="3709" w:type="dxa"/>
            <w:tcMar>
              <w:top w:w="0" w:type="dxa"/>
              <w:left w:w="108" w:type="dxa"/>
              <w:bottom w:w="0" w:type="dxa"/>
              <w:right w:w="108" w:type="dxa"/>
            </w:tcMar>
            <w:hideMark/>
          </w:tcPr>
          <w:p w:rsidR="00D806DD" w:rsidRPr="00012C46" w:rsidRDefault="00D806DD" w:rsidP="00D806DD">
            <w:pPr>
              <w:spacing w:before="120" w:after="100" w:afterAutospacing="1" w:line="240" w:lineRule="auto"/>
              <w:ind w:firstLine="709"/>
              <w:jc w:val="center"/>
              <w:rPr>
                <w:rFonts w:asciiTheme="majorBidi" w:eastAsia="Times New Roman" w:hAnsiTheme="majorBidi" w:cstheme="majorBidi"/>
                <w:sz w:val="24"/>
                <w:szCs w:val="24"/>
              </w:rPr>
            </w:pPr>
            <w:r w:rsidRPr="00012C46">
              <w:rPr>
                <w:rFonts w:asciiTheme="majorBidi" w:hAnsiTheme="majorBidi" w:cstheme="majorBidi"/>
                <w:b/>
                <w:sz w:val="24"/>
              </w:rPr>
              <w:t> </w:t>
            </w:r>
          </w:p>
          <w:p w:rsidR="00D806DD" w:rsidRPr="00012C46" w:rsidRDefault="00D806DD" w:rsidP="00D806DD">
            <w:pPr>
              <w:spacing w:before="120" w:after="100" w:afterAutospacing="1" w:line="240" w:lineRule="auto"/>
              <w:ind w:firstLine="709"/>
              <w:jc w:val="center"/>
              <w:rPr>
                <w:rFonts w:asciiTheme="majorBidi" w:eastAsia="Times New Roman" w:hAnsiTheme="majorBidi" w:cstheme="majorBidi"/>
                <w:sz w:val="24"/>
                <w:szCs w:val="24"/>
              </w:rPr>
            </w:pPr>
            <w:r w:rsidRPr="00012C46">
              <w:rPr>
                <w:rFonts w:asciiTheme="majorBidi" w:hAnsiTheme="majorBidi" w:cstheme="majorBidi"/>
                <w:b/>
                <w:sz w:val="24"/>
              </w:rPr>
              <w:t xml:space="preserve">U. Choukeev </w:t>
            </w:r>
          </w:p>
        </w:tc>
        <w:tc>
          <w:tcPr>
            <w:tcW w:w="3131" w:type="dxa"/>
            <w:tcMar>
              <w:top w:w="0" w:type="dxa"/>
              <w:left w:w="108" w:type="dxa"/>
              <w:bottom w:w="0" w:type="dxa"/>
              <w:right w:w="108" w:type="dxa"/>
            </w:tcMar>
            <w:hideMark/>
          </w:tcPr>
          <w:p w:rsidR="00D806DD" w:rsidRPr="00012C46" w:rsidRDefault="00D806DD" w:rsidP="00D806DD">
            <w:pPr>
              <w:spacing w:before="120" w:after="100" w:afterAutospacing="1" w:line="240" w:lineRule="auto"/>
              <w:ind w:firstLine="709"/>
              <w:jc w:val="center"/>
              <w:rPr>
                <w:rFonts w:asciiTheme="majorBidi" w:eastAsia="Times New Roman" w:hAnsiTheme="majorBidi" w:cstheme="majorBidi"/>
                <w:sz w:val="24"/>
                <w:szCs w:val="24"/>
              </w:rPr>
            </w:pPr>
            <w:r w:rsidRPr="00012C46">
              <w:rPr>
                <w:rFonts w:asciiTheme="majorBidi" w:hAnsiTheme="majorBidi" w:cstheme="majorBidi"/>
                <w:b/>
                <w:sz w:val="24"/>
              </w:rPr>
              <w:t> </w:t>
            </w:r>
          </w:p>
          <w:p w:rsidR="00D806DD" w:rsidRPr="00012C46" w:rsidRDefault="00D806DD" w:rsidP="00D806DD">
            <w:pPr>
              <w:spacing w:before="120" w:after="100" w:afterAutospacing="1" w:line="240" w:lineRule="auto"/>
              <w:ind w:firstLine="709"/>
              <w:jc w:val="center"/>
              <w:rPr>
                <w:rFonts w:asciiTheme="majorBidi" w:eastAsia="Times New Roman" w:hAnsiTheme="majorBidi" w:cstheme="majorBidi"/>
                <w:sz w:val="24"/>
                <w:szCs w:val="24"/>
              </w:rPr>
            </w:pPr>
            <w:r w:rsidRPr="00012C46">
              <w:rPr>
                <w:rFonts w:asciiTheme="majorBidi" w:hAnsiTheme="majorBidi" w:cstheme="majorBidi"/>
                <w:b/>
                <w:sz w:val="24"/>
              </w:rPr>
              <w:t>I. Chouvalov</w:t>
            </w:r>
          </w:p>
        </w:tc>
      </w:tr>
      <w:bookmarkEnd w:id="0"/>
    </w:tbl>
    <w:p w:rsidR="00AF7724" w:rsidRPr="001E68CA" w:rsidRDefault="00AF7724">
      <w:pPr>
        <w:rPr>
          <w:rFonts w:asciiTheme="majorBidi" w:hAnsiTheme="majorBidi" w:cstheme="majorBidi"/>
        </w:rPr>
      </w:pPr>
    </w:p>
    <w:sectPr w:rsidR="00AF7724" w:rsidRPr="001E68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1B1" w:rsidRDefault="00A301B1" w:rsidP="007A0F47">
      <w:pPr>
        <w:spacing w:after="0" w:line="240" w:lineRule="auto"/>
      </w:pPr>
      <w:r>
        <w:separator/>
      </w:r>
    </w:p>
  </w:endnote>
  <w:endnote w:type="continuationSeparator" w:id="0">
    <w:p w:rsidR="00A301B1" w:rsidRDefault="00A301B1" w:rsidP="007A0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1B1" w:rsidRDefault="00A301B1" w:rsidP="007A0F47">
      <w:pPr>
        <w:spacing w:after="0" w:line="240" w:lineRule="auto"/>
      </w:pPr>
      <w:r>
        <w:separator/>
      </w:r>
    </w:p>
  </w:footnote>
  <w:footnote w:type="continuationSeparator" w:id="0">
    <w:p w:rsidR="00A301B1" w:rsidRDefault="00A301B1" w:rsidP="007A0F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6DD"/>
    <w:rsid w:val="00012C46"/>
    <w:rsid w:val="001E68CA"/>
    <w:rsid w:val="00585D0D"/>
    <w:rsid w:val="007A0F47"/>
    <w:rsid w:val="00855EE2"/>
    <w:rsid w:val="00A301B1"/>
    <w:rsid w:val="00AF7724"/>
    <w:rsid w:val="00D806D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D806DD"/>
    <w:rPr>
      <w:b/>
      <w:bCs/>
    </w:rPr>
  </w:style>
  <w:style w:type="character" w:styleId="Lienhypertexte">
    <w:name w:val="Hyperlink"/>
    <w:basedOn w:val="Policepardfaut"/>
    <w:uiPriority w:val="99"/>
    <w:semiHidden/>
    <w:unhideWhenUsed/>
    <w:rsid w:val="00D806DD"/>
    <w:rPr>
      <w:color w:val="0000FF"/>
      <w:u w:val="single"/>
    </w:rPr>
  </w:style>
  <w:style w:type="paragraph" w:styleId="En-tte">
    <w:name w:val="header"/>
    <w:basedOn w:val="Normal"/>
    <w:link w:val="En-tteCar"/>
    <w:uiPriority w:val="99"/>
    <w:unhideWhenUsed/>
    <w:rsid w:val="007A0F47"/>
    <w:pPr>
      <w:tabs>
        <w:tab w:val="center" w:pos="4536"/>
        <w:tab w:val="right" w:pos="9072"/>
      </w:tabs>
      <w:spacing w:after="0" w:line="240" w:lineRule="auto"/>
    </w:pPr>
  </w:style>
  <w:style w:type="character" w:customStyle="1" w:styleId="En-tteCar">
    <w:name w:val="En-tête Car"/>
    <w:basedOn w:val="Policepardfaut"/>
    <w:link w:val="En-tte"/>
    <w:uiPriority w:val="99"/>
    <w:rsid w:val="007A0F47"/>
  </w:style>
  <w:style w:type="paragraph" w:styleId="Pieddepage">
    <w:name w:val="footer"/>
    <w:basedOn w:val="Normal"/>
    <w:link w:val="PieddepageCar"/>
    <w:uiPriority w:val="99"/>
    <w:unhideWhenUsed/>
    <w:rsid w:val="007A0F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0F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D806DD"/>
    <w:rPr>
      <w:b/>
      <w:bCs/>
    </w:rPr>
  </w:style>
  <w:style w:type="character" w:styleId="Lienhypertexte">
    <w:name w:val="Hyperlink"/>
    <w:basedOn w:val="Policepardfaut"/>
    <w:uiPriority w:val="99"/>
    <w:semiHidden/>
    <w:unhideWhenUsed/>
    <w:rsid w:val="00D806DD"/>
    <w:rPr>
      <w:color w:val="0000FF"/>
      <w:u w:val="single"/>
    </w:rPr>
  </w:style>
  <w:style w:type="paragraph" w:styleId="En-tte">
    <w:name w:val="header"/>
    <w:basedOn w:val="Normal"/>
    <w:link w:val="En-tteCar"/>
    <w:uiPriority w:val="99"/>
    <w:unhideWhenUsed/>
    <w:rsid w:val="007A0F47"/>
    <w:pPr>
      <w:tabs>
        <w:tab w:val="center" w:pos="4536"/>
        <w:tab w:val="right" w:pos="9072"/>
      </w:tabs>
      <w:spacing w:after="0" w:line="240" w:lineRule="auto"/>
    </w:pPr>
  </w:style>
  <w:style w:type="character" w:customStyle="1" w:styleId="En-tteCar">
    <w:name w:val="En-tête Car"/>
    <w:basedOn w:val="Policepardfaut"/>
    <w:link w:val="En-tte"/>
    <w:uiPriority w:val="99"/>
    <w:rsid w:val="007A0F47"/>
  </w:style>
  <w:style w:type="paragraph" w:styleId="Pieddepage">
    <w:name w:val="footer"/>
    <w:basedOn w:val="Normal"/>
    <w:link w:val="PieddepageCar"/>
    <w:uiPriority w:val="99"/>
    <w:unhideWhenUsed/>
    <w:rsid w:val="007A0F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0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8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ouz.ru/KTS/KTS17/Pages/P2_299.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souz.ru/KTS/KTS17/Pages/P1_299.aspx" TargetMode="External"/><Relationship Id="rId12" Type="http://schemas.openxmlformats.org/officeDocument/2006/relationships/hyperlink" Target="http://www.tsouz.ru/KTS/KTS17/Documents/%D0%9F%D1%80.4%20%D0%9F%D0%BE%D1%80%D1%8F%D0%B4%D0%BE%D0%BA.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tsouz.ru/KTS/KTS17/Documents/%D0%9F%D1%80.3%20%D1%84%D0%BE%D1%80%D0%BC%D1%8B.doc" TargetMode="External"/><Relationship Id="rId5" Type="http://schemas.openxmlformats.org/officeDocument/2006/relationships/footnotes" Target="footnotes.xml"/><Relationship Id="rId10" Type="http://schemas.openxmlformats.org/officeDocument/2006/relationships/hyperlink" Target="http://www.tsouz.ru/KTS/KTS17/Documents/%D0%9F%D1%80.4%20%D0%9F%D0%BE%D1%80%D1%8F%D0%B4%D0%BE%D0%BA.doc" TargetMode="External"/><Relationship Id="rId4" Type="http://schemas.openxmlformats.org/officeDocument/2006/relationships/webSettings" Target="webSettings.xml"/><Relationship Id="rId9" Type="http://schemas.openxmlformats.org/officeDocument/2006/relationships/hyperlink" Target="http://www.tsouz.ru/KTS/KTS17/Documents/%D0%9F%D1%80.3%20%D1%84%D0%BE%D1%80%D0%BC%D1%8B.doc"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2881</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2014-07-16T08:24:00Z</dcterms:created>
  <dcterms:modified xsi:type="dcterms:W3CDTF">2014-07-17T14:51:00Z</dcterms:modified>
</cp:coreProperties>
</file>