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529491" w14:textId="77777777" w:rsidR="004A100D" w:rsidRDefault="006212AA" w:rsidP="004A100D">
      <w:pPr>
        <w:pStyle w:val="Style1"/>
        <w:rPr>
          <w:rFonts w:eastAsia="Times New Roman"/>
          <w:sz w:val="24"/>
          <w:szCs w:val="24"/>
        </w:rPr>
      </w:pPr>
      <w:bookmarkStart w:id="0" w:name="_GoBack"/>
      <w:bookmarkEnd w:id="0"/>
      <w:r>
        <w:rPr>
          <w:rFonts w:eastAsia="Times New Roman"/>
          <w:sz w:val="24"/>
          <w:szCs w:val="24"/>
        </w:rPr>
        <w:t>Russie</w:t>
      </w:r>
    </w:p>
    <w:p w14:paraId="5B7B62E6" w14:textId="534F771B" w:rsidR="006212AA" w:rsidRPr="000819A6" w:rsidRDefault="004A100D" w:rsidP="000819A6">
      <w:pPr>
        <w:pStyle w:val="Style1"/>
        <w:jc w:val="right"/>
        <w:rPr>
          <w:rFonts w:eastAsia="Times New Roman"/>
          <w:b w:val="0"/>
          <w:sz w:val="24"/>
          <w:szCs w:val="24"/>
        </w:rPr>
      </w:pPr>
      <w:bookmarkStart w:id="1" w:name="_Toc39174482"/>
      <w:bookmarkStart w:id="2" w:name="_Toc39179079"/>
      <w:bookmarkStart w:id="3" w:name="_Toc39179618"/>
      <w:bookmarkStart w:id="4" w:name="_Toc39180494"/>
      <w:r w:rsidRPr="000D5168">
        <w:rPr>
          <w:rFonts w:eastAsia="Times New Roman"/>
          <w:b w:val="0"/>
          <w:i/>
          <w:iCs/>
          <w:sz w:val="24"/>
          <w:szCs w:val="24"/>
        </w:rPr>
        <w:t xml:space="preserve">(SER de </w:t>
      </w:r>
      <w:r w:rsidR="006212AA">
        <w:rPr>
          <w:rFonts w:eastAsia="Times New Roman"/>
          <w:b w:val="0"/>
          <w:i/>
          <w:iCs/>
          <w:sz w:val="24"/>
          <w:szCs w:val="24"/>
        </w:rPr>
        <w:t>Moscou</w:t>
      </w:r>
      <w:r w:rsidRPr="000D5168">
        <w:rPr>
          <w:rFonts w:eastAsia="Times New Roman"/>
          <w:b w:val="0"/>
          <w:sz w:val="24"/>
          <w:szCs w:val="24"/>
        </w:rPr>
        <w:t>)</w:t>
      </w:r>
      <w:bookmarkEnd w:id="1"/>
      <w:bookmarkEnd w:id="2"/>
      <w:bookmarkEnd w:id="3"/>
      <w:bookmarkEnd w:id="4"/>
    </w:p>
    <w:p w14:paraId="67B27011" w14:textId="384E4692" w:rsidR="00651861" w:rsidRPr="003262ED" w:rsidRDefault="0023306B" w:rsidP="004A100D">
      <w:pPr>
        <w:jc w:val="both"/>
        <w:rPr>
          <w:rFonts w:ascii="Times New Roman" w:eastAsia="Times New Roman" w:hAnsi="Times New Roman" w:cs="Times New Roman"/>
          <w:bCs/>
          <w:i/>
        </w:rPr>
      </w:pPr>
      <w:r>
        <w:rPr>
          <w:rFonts w:ascii="Times New Roman" w:eastAsia="Times New Roman" w:hAnsi="Times New Roman" w:cs="Times New Roman"/>
          <w:bCs/>
          <w:i/>
        </w:rPr>
        <w:t>S</w:t>
      </w:r>
      <w:r w:rsidR="00460C15">
        <w:rPr>
          <w:rFonts w:ascii="Times New Roman" w:eastAsia="Times New Roman" w:hAnsi="Times New Roman" w:cs="Times New Roman"/>
          <w:bCs/>
          <w:i/>
        </w:rPr>
        <w:t>tabilité</w:t>
      </w:r>
      <w:r w:rsidR="003517B9">
        <w:rPr>
          <w:rFonts w:ascii="Times New Roman" w:eastAsia="Times New Roman" w:hAnsi="Times New Roman" w:cs="Times New Roman"/>
          <w:bCs/>
          <w:i/>
        </w:rPr>
        <w:t xml:space="preserve"> </w:t>
      </w:r>
      <w:r>
        <w:rPr>
          <w:rFonts w:ascii="Times New Roman" w:eastAsia="Times New Roman" w:hAnsi="Times New Roman" w:cs="Times New Roman"/>
          <w:bCs/>
          <w:i/>
        </w:rPr>
        <w:t xml:space="preserve">globale </w:t>
      </w:r>
      <w:r w:rsidR="003517B9">
        <w:rPr>
          <w:rFonts w:ascii="Times New Roman" w:eastAsia="Times New Roman" w:hAnsi="Times New Roman" w:cs="Times New Roman"/>
          <w:bCs/>
          <w:i/>
        </w:rPr>
        <w:t>du</w:t>
      </w:r>
      <w:r w:rsidR="003262ED">
        <w:rPr>
          <w:rFonts w:ascii="Times New Roman" w:eastAsia="Times New Roman" w:hAnsi="Times New Roman" w:cs="Times New Roman"/>
          <w:bCs/>
          <w:i/>
        </w:rPr>
        <w:t xml:space="preserve"> taux </w:t>
      </w:r>
      <w:r w:rsidR="00460C15">
        <w:rPr>
          <w:rFonts w:ascii="Times New Roman" w:eastAsia="Times New Roman" w:hAnsi="Times New Roman" w:cs="Times New Roman"/>
          <w:bCs/>
          <w:i/>
        </w:rPr>
        <w:t xml:space="preserve">de croissance des cas </w:t>
      </w:r>
      <w:r>
        <w:rPr>
          <w:rFonts w:ascii="Times New Roman" w:eastAsia="Times New Roman" w:hAnsi="Times New Roman" w:cs="Times New Roman"/>
          <w:bCs/>
          <w:i/>
        </w:rPr>
        <w:t xml:space="preserve">de COVID-19 </w:t>
      </w:r>
      <w:r w:rsidR="00460C15">
        <w:rPr>
          <w:rFonts w:ascii="Times New Roman" w:eastAsia="Times New Roman" w:hAnsi="Times New Roman" w:cs="Times New Roman"/>
          <w:bCs/>
          <w:i/>
        </w:rPr>
        <w:t>détectés</w:t>
      </w:r>
      <w:r>
        <w:rPr>
          <w:rFonts w:ascii="Times New Roman" w:eastAsia="Times New Roman" w:hAnsi="Times New Roman" w:cs="Times New Roman"/>
          <w:bCs/>
          <w:i/>
        </w:rPr>
        <w:t xml:space="preserve"> </w:t>
      </w:r>
      <w:r w:rsidR="00BB55D9">
        <w:rPr>
          <w:rFonts w:ascii="Times New Roman" w:eastAsia="Times New Roman" w:hAnsi="Times New Roman" w:cs="Times New Roman"/>
          <w:bCs/>
          <w:i/>
        </w:rPr>
        <w:t xml:space="preserve">mais ralentissement de la progression </w:t>
      </w:r>
      <w:r>
        <w:rPr>
          <w:rFonts w:ascii="Times New Roman" w:eastAsia="Times New Roman" w:hAnsi="Times New Roman" w:cs="Times New Roman"/>
          <w:bCs/>
          <w:i/>
        </w:rPr>
        <w:t xml:space="preserve"> </w:t>
      </w:r>
      <w:r w:rsidR="00FB1C5F">
        <w:rPr>
          <w:rFonts w:ascii="Times New Roman" w:eastAsia="Times New Roman" w:hAnsi="Times New Roman" w:cs="Times New Roman"/>
          <w:bCs/>
          <w:i/>
        </w:rPr>
        <w:t>à Moscou</w:t>
      </w:r>
      <w:r>
        <w:rPr>
          <w:rFonts w:ascii="Times New Roman" w:eastAsia="Times New Roman" w:hAnsi="Times New Roman" w:cs="Times New Roman"/>
          <w:bCs/>
          <w:i/>
        </w:rPr>
        <w:t>.</w:t>
      </w:r>
      <w:r w:rsidR="00BB55D9">
        <w:rPr>
          <w:rFonts w:ascii="Times New Roman" w:eastAsia="Times New Roman" w:hAnsi="Times New Roman" w:cs="Times New Roman"/>
          <w:bCs/>
          <w:i/>
        </w:rPr>
        <w:t xml:space="preserve"> S</w:t>
      </w:r>
      <w:r w:rsidR="00BB55D9" w:rsidRPr="00881572">
        <w:rPr>
          <w:rFonts w:ascii="Times New Roman" w:eastAsia="Times New Roman" w:hAnsi="Times New Roman" w:cs="Times New Roman"/>
          <w:bCs/>
          <w:i/>
        </w:rPr>
        <w:t>ituation</w:t>
      </w:r>
      <w:r w:rsidR="00BB55D9">
        <w:rPr>
          <w:rFonts w:ascii="Times New Roman" w:eastAsia="Times New Roman" w:hAnsi="Times New Roman" w:cs="Times New Roman"/>
          <w:bCs/>
          <w:i/>
        </w:rPr>
        <w:t xml:space="preserve"> </w:t>
      </w:r>
      <w:r w:rsidR="00881572" w:rsidRPr="00881572">
        <w:rPr>
          <w:rFonts w:ascii="Times New Roman" w:eastAsia="Times New Roman" w:hAnsi="Times New Roman" w:cs="Times New Roman"/>
          <w:bCs/>
          <w:i/>
        </w:rPr>
        <w:t xml:space="preserve">toujours </w:t>
      </w:r>
      <w:r w:rsidR="00881572" w:rsidRPr="00BB55D9">
        <w:rPr>
          <w:rFonts w:ascii="Times New Roman" w:eastAsia="Times New Roman" w:hAnsi="Times New Roman" w:cs="Times New Roman"/>
          <w:bCs/>
          <w:i/>
        </w:rPr>
        <w:t>inquiétante dans certaines régions</w:t>
      </w:r>
      <w:r w:rsidR="00881572">
        <w:rPr>
          <w:rFonts w:ascii="Times New Roman" w:eastAsia="Times New Roman" w:hAnsi="Times New Roman" w:cs="Times New Roman"/>
          <w:bCs/>
          <w:i/>
        </w:rPr>
        <w:t xml:space="preserve">. </w:t>
      </w:r>
      <w:r>
        <w:rPr>
          <w:rFonts w:ascii="Times New Roman" w:eastAsia="Times New Roman" w:hAnsi="Times New Roman" w:cs="Times New Roman"/>
          <w:bCs/>
          <w:i/>
        </w:rPr>
        <w:t xml:space="preserve">Communication des grandes lignes du plan de relance de l’économie ; doutes sur ses ambitions. Les indicateurs économiques avancés (PMI) pointent un rebond mais restent dans le rouge. </w:t>
      </w:r>
      <w:r w:rsidR="00BB55D9">
        <w:rPr>
          <w:rFonts w:ascii="Times New Roman" w:eastAsia="Times New Roman" w:hAnsi="Times New Roman" w:cs="Times New Roman"/>
          <w:bCs/>
          <w:i/>
        </w:rPr>
        <w:t xml:space="preserve">Annonce d’un plan de soutien aux achats publics de véhicules automobiles. Inquiétudes sur des pertes en capital humain dans le secteur IT. </w:t>
      </w:r>
    </w:p>
    <w:p w14:paraId="50346F73" w14:textId="77777777" w:rsidR="00E32B38" w:rsidRPr="00E32B38" w:rsidRDefault="006212AA" w:rsidP="00E32B38">
      <w:pPr>
        <w:jc w:val="both"/>
        <w:rPr>
          <w:rFonts w:ascii="Times New Roman" w:eastAsia="Times New Roman" w:hAnsi="Times New Roman" w:cs="Times New Roman"/>
          <w:bCs/>
        </w:rPr>
      </w:pPr>
      <w:r w:rsidRPr="00E5564A">
        <w:rPr>
          <w:rFonts w:ascii="Times New Roman" w:eastAsia="Times New Roman" w:hAnsi="Times New Roman" w:cs="Times New Roman"/>
          <w:b/>
          <w:bCs/>
          <w:u w:val="single"/>
        </w:rPr>
        <w:t>Situation sanitaire</w:t>
      </w:r>
      <w:r w:rsidR="00E5564A" w:rsidRPr="00D31010">
        <w:rPr>
          <w:rFonts w:ascii="Times New Roman" w:eastAsia="Times New Roman" w:hAnsi="Times New Roman" w:cs="Times New Roman"/>
          <w:b/>
          <w:bCs/>
          <w:u w:val="single"/>
        </w:rPr>
        <w:t xml:space="preserve">. </w:t>
      </w:r>
      <w:r w:rsidR="00651861">
        <w:rPr>
          <w:rFonts w:ascii="Times New Roman" w:eastAsia="Times New Roman" w:hAnsi="Times New Roman" w:cs="Times New Roman"/>
          <w:bCs/>
        </w:rPr>
        <w:t xml:space="preserve"> </w:t>
      </w:r>
    </w:p>
    <w:p w14:paraId="599D1365" w14:textId="7F70FD0F" w:rsidR="00E32B38" w:rsidRPr="00BB55D9" w:rsidRDefault="00E32B38" w:rsidP="00881572">
      <w:pPr>
        <w:jc w:val="both"/>
        <w:rPr>
          <w:rFonts w:ascii="Calibri" w:hAnsi="Calibri" w:cs="Calibri"/>
          <w:i/>
          <w:iCs/>
          <w:color w:val="1F497D"/>
        </w:rPr>
      </w:pPr>
      <w:r w:rsidRPr="00E32B38">
        <w:rPr>
          <w:rFonts w:ascii="Times New Roman" w:eastAsia="Times New Roman" w:hAnsi="Times New Roman" w:cs="Times New Roman"/>
          <w:bCs/>
        </w:rPr>
        <w:t>Au 5 juin 2020, le rythme de propagation du virus Covid-19 reste stable en Russie avec 8 726 nouveaux cas annoncés ce jour (449</w:t>
      </w:r>
      <w:r>
        <w:rPr>
          <w:rFonts w:ascii="Times New Roman" w:eastAsia="Times New Roman" w:hAnsi="Times New Roman" w:cs="Times New Roman"/>
          <w:bCs/>
        </w:rPr>
        <w:t xml:space="preserve"> </w:t>
      </w:r>
      <w:r w:rsidRPr="00E32B38">
        <w:rPr>
          <w:rFonts w:ascii="Times New Roman" w:eastAsia="Times New Roman" w:hAnsi="Times New Roman" w:cs="Times New Roman"/>
          <w:bCs/>
        </w:rPr>
        <w:t xml:space="preserve">834 au total, donc 2% quotidiens). La Russie se classe toujours </w:t>
      </w:r>
      <w:r>
        <w:rPr>
          <w:rFonts w:ascii="Times New Roman" w:eastAsia="Times New Roman" w:hAnsi="Times New Roman" w:cs="Times New Roman"/>
          <w:bCs/>
        </w:rPr>
        <w:t>à</w:t>
      </w:r>
      <w:r w:rsidRPr="00E32B38">
        <w:rPr>
          <w:rFonts w:ascii="Times New Roman" w:eastAsia="Times New Roman" w:hAnsi="Times New Roman" w:cs="Times New Roman"/>
          <w:bCs/>
        </w:rPr>
        <w:t xml:space="preserve"> la troisième place par le nombre de nouveaux cas quotidiens et par le nombre total de cas. La ville de Moscou compte à elle seule près de la moitié des cas (191 069) mais la progression de la maladie y a fortement ralenti (sous les 2% de hausse depuis 15 jours). L'effort de dépistage est toujours considérable; le nombre d'hospitalisés aussi, bien qu'il soit en diminution. Les autorités sanitaires ont appelé au maintien des lits </w:t>
      </w:r>
      <w:r>
        <w:rPr>
          <w:rFonts w:ascii="Times New Roman" w:eastAsia="Times New Roman" w:hAnsi="Times New Roman" w:cs="Times New Roman"/>
          <w:bCs/>
        </w:rPr>
        <w:t>dédiés à la prise en charge des malades du Covid-19 en anticipation d’une 2</w:t>
      </w:r>
      <w:r w:rsidRPr="00881572">
        <w:rPr>
          <w:rFonts w:ascii="Times New Roman" w:eastAsia="Times New Roman" w:hAnsi="Times New Roman" w:cs="Times New Roman"/>
          <w:bCs/>
        </w:rPr>
        <w:t>ème</w:t>
      </w:r>
      <w:r>
        <w:rPr>
          <w:rFonts w:ascii="Times New Roman" w:eastAsia="Times New Roman" w:hAnsi="Times New Roman" w:cs="Times New Roman"/>
          <w:bCs/>
        </w:rPr>
        <w:t xml:space="preserve"> vague. </w:t>
      </w:r>
      <w:r w:rsidR="00881572" w:rsidRPr="00BB55D9">
        <w:rPr>
          <w:rFonts w:ascii="Times New Roman" w:eastAsia="Times New Roman" w:hAnsi="Times New Roman" w:cs="Times New Roman"/>
          <w:bCs/>
        </w:rPr>
        <w:t xml:space="preserve">La ville de Moscou a apporté des corrections </w:t>
      </w:r>
      <w:r w:rsidR="00881572">
        <w:rPr>
          <w:rFonts w:ascii="Times New Roman" w:eastAsia="Times New Roman" w:hAnsi="Times New Roman" w:cs="Times New Roman"/>
          <w:bCs/>
        </w:rPr>
        <w:t>à</w:t>
      </w:r>
      <w:r w:rsidR="00881572" w:rsidRPr="00BB55D9">
        <w:rPr>
          <w:rFonts w:ascii="Times New Roman" w:eastAsia="Times New Roman" w:hAnsi="Times New Roman" w:cs="Times New Roman"/>
          <w:bCs/>
        </w:rPr>
        <w:t xml:space="preserve"> ses chiffres de mortalité pour avril.</w:t>
      </w:r>
      <w:r w:rsidR="00881572">
        <w:rPr>
          <w:rFonts w:ascii="Times New Roman" w:eastAsia="Times New Roman" w:hAnsi="Times New Roman" w:cs="Times New Roman"/>
          <w:bCs/>
        </w:rPr>
        <w:t xml:space="preserve"> Actuellement</w:t>
      </w:r>
      <w:r w:rsidR="00881572" w:rsidRPr="00BB55D9">
        <w:rPr>
          <w:rFonts w:ascii="Times New Roman" w:eastAsia="Times New Roman" w:hAnsi="Times New Roman" w:cs="Times New Roman"/>
          <w:bCs/>
        </w:rPr>
        <w:t xml:space="preserve">, </w:t>
      </w:r>
      <w:r w:rsidR="00881572">
        <w:rPr>
          <w:rFonts w:ascii="Times New Roman" w:eastAsia="Times New Roman" w:hAnsi="Times New Roman" w:cs="Times New Roman"/>
          <w:bCs/>
        </w:rPr>
        <w:t>la mortalité</w:t>
      </w:r>
      <w:r w:rsidR="00881572" w:rsidRPr="00BB55D9">
        <w:rPr>
          <w:rFonts w:ascii="Times New Roman" w:eastAsia="Times New Roman" w:hAnsi="Times New Roman" w:cs="Times New Roman"/>
          <w:bCs/>
        </w:rPr>
        <w:t xml:space="preserve"> quotidien</w:t>
      </w:r>
      <w:r w:rsidR="00881572">
        <w:rPr>
          <w:rFonts w:ascii="Times New Roman" w:eastAsia="Times New Roman" w:hAnsi="Times New Roman" w:cs="Times New Roman"/>
          <w:bCs/>
        </w:rPr>
        <w:t>ne</w:t>
      </w:r>
      <w:r w:rsidR="00881572" w:rsidRPr="00BB55D9">
        <w:rPr>
          <w:rFonts w:ascii="Times New Roman" w:eastAsia="Times New Roman" w:hAnsi="Times New Roman" w:cs="Times New Roman"/>
          <w:bCs/>
        </w:rPr>
        <w:t xml:space="preserve"> (57 morts le 4 juin) </w:t>
      </w:r>
      <w:r w:rsidR="00881572">
        <w:rPr>
          <w:rFonts w:ascii="Times New Roman" w:eastAsia="Times New Roman" w:hAnsi="Times New Roman" w:cs="Times New Roman"/>
          <w:bCs/>
        </w:rPr>
        <w:t>évolue peu</w:t>
      </w:r>
      <w:r w:rsidR="00881572" w:rsidRPr="00881572">
        <w:rPr>
          <w:rFonts w:ascii="Times New Roman" w:eastAsia="Times New Roman" w:hAnsi="Times New Roman" w:cs="Times New Roman"/>
          <w:bCs/>
        </w:rPr>
        <w:t xml:space="preserve"> mais ressort en</w:t>
      </w:r>
      <w:r w:rsidR="00881572" w:rsidRPr="00BB55D9">
        <w:rPr>
          <w:rFonts w:ascii="Times New Roman" w:eastAsia="Times New Roman" w:hAnsi="Times New Roman" w:cs="Times New Roman"/>
          <w:bCs/>
        </w:rPr>
        <w:t xml:space="preserve"> augmentation par rapport au mois d’avril</w:t>
      </w:r>
      <w:r w:rsidR="007A3803">
        <w:rPr>
          <w:rFonts w:ascii="Times New Roman" w:eastAsia="Times New Roman" w:hAnsi="Times New Roman" w:cs="Times New Roman"/>
          <w:bCs/>
        </w:rPr>
        <w:t xml:space="preserve">. </w:t>
      </w:r>
      <w:r w:rsidRPr="00E32B38">
        <w:rPr>
          <w:rFonts w:ascii="Times New Roman" w:eastAsia="Times New Roman" w:hAnsi="Times New Roman" w:cs="Times New Roman"/>
          <w:bCs/>
        </w:rPr>
        <w:t xml:space="preserve">Le début du </w:t>
      </w:r>
      <w:proofErr w:type="spellStart"/>
      <w:r w:rsidRPr="00E32B38">
        <w:rPr>
          <w:rFonts w:ascii="Times New Roman" w:eastAsia="Times New Roman" w:hAnsi="Times New Roman" w:cs="Times New Roman"/>
          <w:bCs/>
        </w:rPr>
        <w:t>déconfinement</w:t>
      </w:r>
      <w:proofErr w:type="spellEnd"/>
      <w:r w:rsidRPr="00E32B38">
        <w:rPr>
          <w:rFonts w:ascii="Times New Roman" w:eastAsia="Times New Roman" w:hAnsi="Times New Roman" w:cs="Times New Roman"/>
          <w:bCs/>
        </w:rPr>
        <w:t xml:space="preserve"> ne </w:t>
      </w:r>
      <w:r w:rsidR="007A3803" w:rsidRPr="00E32B38">
        <w:rPr>
          <w:rFonts w:ascii="Times New Roman" w:eastAsia="Times New Roman" w:hAnsi="Times New Roman" w:cs="Times New Roman"/>
          <w:bCs/>
        </w:rPr>
        <w:t>semble</w:t>
      </w:r>
      <w:r w:rsidRPr="00E32B38">
        <w:rPr>
          <w:rFonts w:ascii="Times New Roman" w:eastAsia="Times New Roman" w:hAnsi="Times New Roman" w:cs="Times New Roman"/>
          <w:bCs/>
        </w:rPr>
        <w:t xml:space="preserve"> pas avoir d'effet visible sur l'évolution du nombre de cas pour le moment. Au-delà de Mo</w:t>
      </w:r>
      <w:r w:rsidR="00E16837">
        <w:rPr>
          <w:rFonts w:ascii="Times New Roman" w:eastAsia="Times New Roman" w:hAnsi="Times New Roman" w:cs="Times New Roman"/>
          <w:bCs/>
        </w:rPr>
        <w:t>scou, la situation est toujours</w:t>
      </w:r>
      <w:r w:rsidRPr="00E32B38">
        <w:rPr>
          <w:rFonts w:ascii="Times New Roman" w:eastAsia="Times New Roman" w:hAnsi="Times New Roman" w:cs="Times New Roman"/>
          <w:bCs/>
        </w:rPr>
        <w:t xml:space="preserve"> inquiétante dans certaines régions, notamment dans l'oblast de Nijni-Novgo</w:t>
      </w:r>
      <w:r>
        <w:rPr>
          <w:rFonts w:ascii="Times New Roman" w:eastAsia="Times New Roman" w:hAnsi="Times New Roman" w:cs="Times New Roman"/>
          <w:bCs/>
        </w:rPr>
        <w:t xml:space="preserve">rod et le Caucase. </w:t>
      </w:r>
      <w:r w:rsidRPr="00E32B38">
        <w:rPr>
          <w:rFonts w:ascii="Times New Roman" w:eastAsia="Times New Roman" w:hAnsi="Times New Roman" w:cs="Times New Roman"/>
          <w:bCs/>
        </w:rPr>
        <w:t xml:space="preserve">La publication des chiffres de mortalité de Saint </w:t>
      </w:r>
      <w:r w:rsidR="007A3803" w:rsidRPr="00E32B38">
        <w:rPr>
          <w:rFonts w:ascii="Times New Roman" w:eastAsia="Times New Roman" w:hAnsi="Times New Roman" w:cs="Times New Roman"/>
          <w:bCs/>
        </w:rPr>
        <w:t>Pétersbourg</w:t>
      </w:r>
      <w:r w:rsidRPr="00E32B38">
        <w:rPr>
          <w:rFonts w:ascii="Times New Roman" w:eastAsia="Times New Roman" w:hAnsi="Times New Roman" w:cs="Times New Roman"/>
          <w:bCs/>
        </w:rPr>
        <w:t xml:space="preserve"> pour mai révèle une disparité </w:t>
      </w:r>
      <w:r w:rsidR="00E16837">
        <w:rPr>
          <w:rFonts w:ascii="Times New Roman" w:eastAsia="Times New Roman" w:hAnsi="Times New Roman" w:cs="Times New Roman"/>
          <w:bCs/>
        </w:rPr>
        <w:t xml:space="preserve">considérable </w:t>
      </w:r>
      <w:r w:rsidR="007A3803">
        <w:rPr>
          <w:rFonts w:ascii="Times New Roman" w:eastAsia="Times New Roman" w:hAnsi="Times New Roman" w:cs="Times New Roman"/>
          <w:bCs/>
        </w:rPr>
        <w:t>entre l’augmentation globale des décès  (</w:t>
      </w:r>
      <w:r w:rsidR="007A3803" w:rsidRPr="00E32B38">
        <w:rPr>
          <w:rFonts w:ascii="Times New Roman" w:eastAsia="Times New Roman" w:hAnsi="Times New Roman" w:cs="Times New Roman"/>
          <w:bCs/>
        </w:rPr>
        <w:t>1600</w:t>
      </w:r>
      <w:r w:rsidR="007A3803">
        <w:rPr>
          <w:rFonts w:ascii="Times New Roman" w:eastAsia="Times New Roman" w:hAnsi="Times New Roman" w:cs="Times New Roman"/>
          <w:bCs/>
        </w:rPr>
        <w:t xml:space="preserve"> soit +32%</w:t>
      </w:r>
      <w:r w:rsidR="00881572">
        <w:rPr>
          <w:rFonts w:ascii="Times New Roman" w:eastAsia="Times New Roman" w:hAnsi="Times New Roman" w:cs="Times New Roman"/>
          <w:bCs/>
        </w:rPr>
        <w:t xml:space="preserve"> en glissement annuel</w:t>
      </w:r>
      <w:r w:rsidR="007A3803">
        <w:rPr>
          <w:rFonts w:ascii="Times New Roman" w:eastAsia="Times New Roman" w:hAnsi="Times New Roman" w:cs="Times New Roman"/>
          <w:bCs/>
        </w:rPr>
        <w:t xml:space="preserve">) </w:t>
      </w:r>
      <w:r w:rsidRPr="00E32B38">
        <w:rPr>
          <w:rFonts w:ascii="Times New Roman" w:eastAsia="Times New Roman" w:hAnsi="Times New Roman" w:cs="Times New Roman"/>
          <w:bCs/>
        </w:rPr>
        <w:t>et le chiffre déclaré de 171 décès liés au coronavirus.</w:t>
      </w:r>
    </w:p>
    <w:p w14:paraId="47DFF7F9" w14:textId="77777777" w:rsidR="00BB55D9" w:rsidRDefault="006212AA" w:rsidP="001A70DC">
      <w:pPr>
        <w:jc w:val="both"/>
        <w:rPr>
          <w:rFonts w:ascii="Times New Roman" w:eastAsia="Times New Roman" w:hAnsi="Times New Roman" w:cs="Times New Roman"/>
          <w:bCs/>
        </w:rPr>
      </w:pPr>
      <w:r w:rsidRPr="000D09D8">
        <w:rPr>
          <w:rFonts w:ascii="Times New Roman" w:eastAsia="Times New Roman" w:hAnsi="Times New Roman" w:cs="Times New Roman"/>
          <w:b/>
          <w:bCs/>
          <w:u w:val="single"/>
        </w:rPr>
        <w:t>Mesures économiques de soutien</w:t>
      </w:r>
      <w:r w:rsidR="00651861">
        <w:t>.</w:t>
      </w:r>
      <w:r w:rsidR="00212E85">
        <w:rPr>
          <w:rFonts w:ascii="Times New Roman" w:eastAsia="Times New Roman" w:hAnsi="Times New Roman" w:cs="Times New Roman"/>
          <w:bCs/>
        </w:rPr>
        <w:t xml:space="preserve"> </w:t>
      </w:r>
    </w:p>
    <w:p w14:paraId="63D717EC" w14:textId="7A57BE6B" w:rsidR="001A70DC" w:rsidRPr="00882B6A" w:rsidRDefault="001A70DC" w:rsidP="001A70DC">
      <w:pPr>
        <w:jc w:val="both"/>
        <w:rPr>
          <w:rFonts w:ascii="Times New Roman" w:eastAsia="Times New Roman" w:hAnsi="Times New Roman" w:cs="Times New Roman"/>
          <w:bCs/>
        </w:rPr>
      </w:pPr>
      <w:r w:rsidRPr="00882B6A">
        <w:rPr>
          <w:rFonts w:ascii="Times New Roman" w:eastAsia="Times New Roman" w:hAnsi="Times New Roman" w:cs="Times New Roman"/>
          <w:bCs/>
        </w:rPr>
        <w:t>Cette semaine, le plan de relance économique a été présenté au président russe. Par rapport à la version précédente soumise au gouvernement la semaine dernière, le coût total du plan a diminué de 700 Mds RUB</w:t>
      </w:r>
      <w:r w:rsidR="00B62C2E">
        <w:rPr>
          <w:rFonts w:ascii="Times New Roman" w:eastAsia="Times New Roman" w:hAnsi="Times New Roman" w:cs="Times New Roman"/>
          <w:bCs/>
        </w:rPr>
        <w:t>,</w:t>
      </w:r>
      <w:r w:rsidRPr="00882B6A">
        <w:rPr>
          <w:rFonts w:ascii="Times New Roman" w:eastAsia="Times New Roman" w:hAnsi="Times New Roman" w:cs="Times New Roman"/>
          <w:bCs/>
        </w:rPr>
        <w:t xml:space="preserve"> à 7 300 Mds RUB soit environ 7% du PIB</w:t>
      </w:r>
      <w:r w:rsidR="00B62C2E">
        <w:rPr>
          <w:rFonts w:ascii="Times New Roman" w:eastAsia="Times New Roman" w:hAnsi="Times New Roman" w:cs="Times New Roman"/>
          <w:bCs/>
        </w:rPr>
        <w:t xml:space="preserve">, </w:t>
      </w:r>
      <w:r w:rsidRPr="00882B6A">
        <w:rPr>
          <w:rFonts w:ascii="Times New Roman" w:eastAsia="Times New Roman" w:hAnsi="Times New Roman" w:cs="Times New Roman"/>
          <w:bCs/>
        </w:rPr>
        <w:t>dont 5 000 Mds RUB sont des dépenses budgétaires (</w:t>
      </w:r>
      <w:r w:rsidR="0018126A">
        <w:rPr>
          <w:rFonts w:ascii="Times New Roman" w:eastAsia="Times New Roman" w:hAnsi="Times New Roman" w:cs="Times New Roman"/>
          <w:bCs/>
        </w:rPr>
        <w:t>ce montant inclurait</w:t>
      </w:r>
      <w:r w:rsidRPr="00882B6A">
        <w:rPr>
          <w:rFonts w:ascii="Times New Roman" w:eastAsia="Times New Roman" w:hAnsi="Times New Roman" w:cs="Times New Roman"/>
          <w:bCs/>
        </w:rPr>
        <w:t xml:space="preserve"> </w:t>
      </w:r>
      <w:r w:rsidR="0018126A">
        <w:rPr>
          <w:rFonts w:ascii="Times New Roman" w:eastAsia="Times New Roman" w:hAnsi="Times New Roman" w:cs="Times New Roman"/>
          <w:bCs/>
        </w:rPr>
        <w:t xml:space="preserve">les </w:t>
      </w:r>
      <w:r w:rsidR="00B62C2E">
        <w:rPr>
          <w:rFonts w:ascii="Times New Roman" w:eastAsia="Times New Roman" w:hAnsi="Times New Roman" w:cs="Times New Roman"/>
          <w:bCs/>
        </w:rPr>
        <w:t>pertes de</w:t>
      </w:r>
      <w:r w:rsidR="00B62C2E" w:rsidRPr="00882B6A">
        <w:rPr>
          <w:rFonts w:ascii="Times New Roman" w:eastAsia="Times New Roman" w:hAnsi="Times New Roman" w:cs="Times New Roman"/>
          <w:bCs/>
        </w:rPr>
        <w:t xml:space="preserve"> </w:t>
      </w:r>
      <w:r w:rsidRPr="00882B6A">
        <w:rPr>
          <w:rFonts w:ascii="Times New Roman" w:eastAsia="Times New Roman" w:hAnsi="Times New Roman" w:cs="Times New Roman"/>
          <w:bCs/>
        </w:rPr>
        <w:t>recettes budgétaires</w:t>
      </w:r>
      <w:r w:rsidR="0018126A">
        <w:rPr>
          <w:rFonts w:ascii="Times New Roman" w:eastAsia="Times New Roman" w:hAnsi="Times New Roman" w:cs="Times New Roman"/>
          <w:bCs/>
        </w:rPr>
        <w:t xml:space="preserve"> et tout ou partie des mesures de soutien déjà lancées</w:t>
      </w:r>
      <w:r w:rsidRPr="00882B6A">
        <w:rPr>
          <w:rFonts w:ascii="Times New Roman" w:eastAsia="Times New Roman" w:hAnsi="Times New Roman" w:cs="Times New Roman"/>
          <w:bCs/>
        </w:rPr>
        <w:t xml:space="preserve">). </w:t>
      </w:r>
      <w:r w:rsidR="0018126A">
        <w:rPr>
          <w:rFonts w:ascii="Times New Roman" w:eastAsia="Times New Roman" w:hAnsi="Times New Roman" w:cs="Times New Roman"/>
          <w:bCs/>
        </w:rPr>
        <w:t>Le plan devrait</w:t>
      </w:r>
      <w:r w:rsidR="00041373">
        <w:rPr>
          <w:rFonts w:ascii="Times New Roman" w:eastAsia="Times New Roman" w:hAnsi="Times New Roman" w:cs="Times New Roman"/>
          <w:bCs/>
        </w:rPr>
        <w:t xml:space="preserve"> comporter des mesures visant à stimuler l’investissement, promouvoir l’utilisation des nouvelles technologies notamment digitales </w:t>
      </w:r>
      <w:r w:rsidR="0018126A">
        <w:rPr>
          <w:rFonts w:ascii="Times New Roman" w:eastAsia="Times New Roman" w:hAnsi="Times New Roman" w:cs="Times New Roman"/>
          <w:bCs/>
        </w:rPr>
        <w:t>ainsi que des actions en direction des</w:t>
      </w:r>
      <w:r w:rsidR="00041373">
        <w:rPr>
          <w:rFonts w:ascii="Times New Roman" w:eastAsia="Times New Roman" w:hAnsi="Times New Roman" w:cs="Times New Roman"/>
          <w:bCs/>
        </w:rPr>
        <w:t xml:space="preserve"> domaines de l’éducation</w:t>
      </w:r>
      <w:r w:rsidR="00B62C2E">
        <w:rPr>
          <w:rFonts w:ascii="Times New Roman" w:eastAsia="Times New Roman" w:hAnsi="Times New Roman" w:cs="Times New Roman"/>
          <w:bCs/>
        </w:rPr>
        <w:t xml:space="preserve">, </w:t>
      </w:r>
      <w:r w:rsidR="00041373">
        <w:rPr>
          <w:rFonts w:ascii="Times New Roman" w:eastAsia="Times New Roman" w:hAnsi="Times New Roman" w:cs="Times New Roman"/>
          <w:bCs/>
        </w:rPr>
        <w:t>de la construction</w:t>
      </w:r>
      <w:r w:rsidR="00B62C2E">
        <w:rPr>
          <w:rFonts w:ascii="Times New Roman" w:eastAsia="Times New Roman" w:hAnsi="Times New Roman" w:cs="Times New Roman"/>
          <w:bCs/>
        </w:rPr>
        <w:t xml:space="preserve"> et du logement</w:t>
      </w:r>
      <w:r w:rsidR="00041373">
        <w:rPr>
          <w:rFonts w:ascii="Times New Roman" w:eastAsia="Times New Roman" w:hAnsi="Times New Roman" w:cs="Times New Roman"/>
          <w:bCs/>
        </w:rPr>
        <w:t xml:space="preserve">. Il comprendrait en outre des volets dédiés aux développements des infrastructures et de la substitution des importations. </w:t>
      </w:r>
      <w:r w:rsidRPr="00882B6A">
        <w:rPr>
          <w:rFonts w:ascii="Times New Roman" w:eastAsia="Times New Roman" w:hAnsi="Times New Roman" w:cs="Times New Roman"/>
          <w:bCs/>
        </w:rPr>
        <w:t xml:space="preserve">À la fin de 2021, les autorités </w:t>
      </w:r>
      <w:r w:rsidR="00EB6BCC">
        <w:rPr>
          <w:rFonts w:ascii="Times New Roman" w:eastAsia="Times New Roman" w:hAnsi="Times New Roman" w:cs="Times New Roman"/>
          <w:bCs/>
        </w:rPr>
        <w:t>ambitionnent</w:t>
      </w:r>
      <w:r w:rsidR="00EB6BCC" w:rsidRPr="00882B6A">
        <w:rPr>
          <w:rFonts w:ascii="Times New Roman" w:eastAsia="Times New Roman" w:hAnsi="Times New Roman" w:cs="Times New Roman"/>
          <w:bCs/>
        </w:rPr>
        <w:t xml:space="preserve"> </w:t>
      </w:r>
      <w:r w:rsidRPr="00882B6A">
        <w:rPr>
          <w:rFonts w:ascii="Times New Roman" w:eastAsia="Times New Roman" w:hAnsi="Times New Roman" w:cs="Times New Roman"/>
          <w:bCs/>
        </w:rPr>
        <w:t>de réduire le taux de chômage à 5% (</w:t>
      </w:r>
      <w:r w:rsidR="0018126A">
        <w:rPr>
          <w:rFonts w:ascii="Times New Roman" w:eastAsia="Times New Roman" w:hAnsi="Times New Roman" w:cs="Times New Roman"/>
          <w:bCs/>
        </w:rPr>
        <w:t xml:space="preserve">il atteint </w:t>
      </w:r>
      <w:r w:rsidR="0018126A" w:rsidRPr="00882B6A">
        <w:rPr>
          <w:rFonts w:ascii="Times New Roman" w:eastAsia="Times New Roman" w:hAnsi="Times New Roman" w:cs="Times New Roman"/>
          <w:bCs/>
        </w:rPr>
        <w:t>5,8%)</w:t>
      </w:r>
      <w:r w:rsidR="0018126A">
        <w:rPr>
          <w:rFonts w:ascii="Times New Roman" w:eastAsia="Times New Roman" w:hAnsi="Times New Roman" w:cs="Times New Roman"/>
          <w:bCs/>
        </w:rPr>
        <w:t xml:space="preserve"> </w:t>
      </w:r>
      <w:r w:rsidRPr="00882B6A">
        <w:rPr>
          <w:rFonts w:ascii="Times New Roman" w:eastAsia="Times New Roman" w:hAnsi="Times New Roman" w:cs="Times New Roman"/>
          <w:bCs/>
        </w:rPr>
        <w:t>en avril 2020</w:t>
      </w:r>
      <w:r w:rsidR="0018126A">
        <w:rPr>
          <w:rFonts w:ascii="Times New Roman" w:eastAsia="Times New Roman" w:hAnsi="Times New Roman" w:cs="Times New Roman"/>
          <w:bCs/>
        </w:rPr>
        <w:t>),</w:t>
      </w:r>
      <w:r w:rsidRPr="00882B6A">
        <w:rPr>
          <w:rFonts w:ascii="Times New Roman" w:eastAsia="Times New Roman" w:hAnsi="Times New Roman" w:cs="Times New Roman"/>
          <w:bCs/>
        </w:rPr>
        <w:t xml:space="preserve"> </w:t>
      </w:r>
      <w:r w:rsidR="00E048A4">
        <w:rPr>
          <w:rFonts w:ascii="Times New Roman" w:eastAsia="Times New Roman" w:hAnsi="Times New Roman" w:cs="Times New Roman"/>
          <w:bCs/>
        </w:rPr>
        <w:t xml:space="preserve">de restaurer une </w:t>
      </w:r>
      <w:r w:rsidRPr="00882B6A">
        <w:rPr>
          <w:rFonts w:ascii="Times New Roman" w:eastAsia="Times New Roman" w:hAnsi="Times New Roman" w:cs="Times New Roman"/>
          <w:bCs/>
        </w:rPr>
        <w:t xml:space="preserve">croissance régulière des revenus réels et </w:t>
      </w:r>
      <w:r w:rsidR="00E048A4">
        <w:rPr>
          <w:rFonts w:ascii="Times New Roman" w:eastAsia="Times New Roman" w:hAnsi="Times New Roman" w:cs="Times New Roman"/>
          <w:bCs/>
        </w:rPr>
        <w:t>de faire remonter le taux de</w:t>
      </w:r>
      <w:r w:rsidRPr="00882B6A">
        <w:rPr>
          <w:rFonts w:ascii="Times New Roman" w:eastAsia="Times New Roman" w:hAnsi="Times New Roman" w:cs="Times New Roman"/>
          <w:bCs/>
        </w:rPr>
        <w:t xml:space="preserve"> croissance </w:t>
      </w:r>
      <w:r w:rsidR="00E048A4">
        <w:rPr>
          <w:rFonts w:ascii="Times New Roman" w:eastAsia="Times New Roman" w:hAnsi="Times New Roman" w:cs="Times New Roman"/>
          <w:bCs/>
        </w:rPr>
        <w:t xml:space="preserve">de l’économie </w:t>
      </w:r>
      <w:r w:rsidRPr="00882B6A">
        <w:rPr>
          <w:rFonts w:ascii="Times New Roman" w:eastAsia="Times New Roman" w:hAnsi="Times New Roman" w:cs="Times New Roman"/>
          <w:bCs/>
        </w:rPr>
        <w:t>à 2,5</w:t>
      </w:r>
      <w:r w:rsidR="00E048A4">
        <w:rPr>
          <w:rFonts w:ascii="Times New Roman" w:eastAsia="Times New Roman" w:hAnsi="Times New Roman" w:cs="Times New Roman"/>
          <w:bCs/>
        </w:rPr>
        <w:t>%.</w:t>
      </w:r>
      <w:r w:rsidRPr="00882B6A">
        <w:rPr>
          <w:rFonts w:ascii="Times New Roman" w:eastAsia="Times New Roman" w:hAnsi="Times New Roman" w:cs="Times New Roman"/>
          <w:bCs/>
        </w:rPr>
        <w:t xml:space="preserve"> </w:t>
      </w:r>
      <w:r w:rsidR="00CB62E5">
        <w:rPr>
          <w:rFonts w:ascii="Times New Roman" w:eastAsia="Times New Roman" w:hAnsi="Times New Roman" w:cs="Times New Roman"/>
          <w:bCs/>
        </w:rPr>
        <w:t>Le</w:t>
      </w:r>
      <w:r w:rsidRPr="00882B6A">
        <w:rPr>
          <w:rFonts w:ascii="Times New Roman" w:eastAsia="Times New Roman" w:hAnsi="Times New Roman" w:cs="Times New Roman"/>
          <w:bCs/>
        </w:rPr>
        <w:t xml:space="preserve"> plan devrait être </w:t>
      </w:r>
      <w:r w:rsidR="00882B6A" w:rsidRPr="00882B6A">
        <w:rPr>
          <w:rFonts w:ascii="Times New Roman" w:eastAsia="Times New Roman" w:hAnsi="Times New Roman" w:cs="Times New Roman"/>
          <w:bCs/>
        </w:rPr>
        <w:t>finalisé</w:t>
      </w:r>
      <w:r w:rsidRPr="00882B6A">
        <w:rPr>
          <w:rFonts w:ascii="Times New Roman" w:eastAsia="Times New Roman" w:hAnsi="Times New Roman" w:cs="Times New Roman"/>
          <w:bCs/>
        </w:rPr>
        <w:t xml:space="preserve"> et présenté </w:t>
      </w:r>
      <w:r w:rsidR="00041373">
        <w:rPr>
          <w:rFonts w:ascii="Times New Roman" w:eastAsia="Times New Roman" w:hAnsi="Times New Roman" w:cs="Times New Roman"/>
          <w:bCs/>
        </w:rPr>
        <w:t>lors de la deuxième moitié du mois de juin</w:t>
      </w:r>
      <w:r w:rsidR="00EB6BCC">
        <w:rPr>
          <w:rFonts w:ascii="Times New Roman" w:eastAsia="Times New Roman" w:hAnsi="Times New Roman" w:cs="Times New Roman"/>
          <w:bCs/>
        </w:rPr>
        <w:t xml:space="preserve">. </w:t>
      </w:r>
      <w:r w:rsidR="00B62C2E">
        <w:rPr>
          <w:rFonts w:ascii="Times New Roman" w:eastAsia="Times New Roman" w:hAnsi="Times New Roman" w:cs="Times New Roman"/>
          <w:bCs/>
        </w:rPr>
        <w:t>Le Président a également demandé au gouvernement une révision du programme phare d’investissements publics (les « projets nationaux »). Un</w:t>
      </w:r>
      <w:r w:rsidRPr="00882B6A">
        <w:rPr>
          <w:rFonts w:ascii="Times New Roman" w:eastAsia="Times New Roman" w:hAnsi="Times New Roman" w:cs="Times New Roman"/>
          <w:bCs/>
        </w:rPr>
        <w:t xml:space="preserve"> certain nombre d'experts critiquent déjà le plan</w:t>
      </w:r>
      <w:r w:rsidR="00B62C2E">
        <w:rPr>
          <w:rFonts w:ascii="Times New Roman" w:eastAsia="Times New Roman" w:hAnsi="Times New Roman" w:cs="Times New Roman"/>
          <w:bCs/>
        </w:rPr>
        <w:t xml:space="preserve"> de relance</w:t>
      </w:r>
      <w:r w:rsidR="00CB62E5">
        <w:rPr>
          <w:rFonts w:ascii="Times New Roman" w:eastAsia="Times New Roman" w:hAnsi="Times New Roman" w:cs="Times New Roman"/>
          <w:bCs/>
        </w:rPr>
        <w:t xml:space="preserve"> pour son manque d’ambitions.</w:t>
      </w:r>
      <w:r w:rsidRPr="00882B6A">
        <w:rPr>
          <w:rFonts w:ascii="Times New Roman" w:eastAsia="Times New Roman" w:hAnsi="Times New Roman" w:cs="Times New Roman"/>
          <w:bCs/>
        </w:rPr>
        <w:t xml:space="preserve"> </w:t>
      </w:r>
    </w:p>
    <w:p w14:paraId="0D4B90E6" w14:textId="4E97706D" w:rsidR="0018126A" w:rsidRDefault="006212AA" w:rsidP="003A55CE">
      <w:pPr>
        <w:jc w:val="both"/>
        <w:rPr>
          <w:rFonts w:ascii="Times New Roman" w:hAnsi="Times New Roman" w:cs="Times New Roman"/>
        </w:rPr>
      </w:pPr>
      <w:r w:rsidRPr="000D09D8">
        <w:rPr>
          <w:rFonts w:ascii="Times New Roman" w:eastAsia="Times New Roman" w:hAnsi="Times New Roman" w:cs="Times New Roman"/>
          <w:b/>
          <w:bCs/>
          <w:u w:val="single"/>
        </w:rPr>
        <w:t>Impact économique et financier</w:t>
      </w:r>
      <w:r w:rsidR="0002671B">
        <w:t xml:space="preserve">. </w:t>
      </w:r>
      <w:r w:rsidR="001A70DC" w:rsidRPr="00B62C2E">
        <w:rPr>
          <w:rFonts w:ascii="Times New Roman" w:eastAsia="Times New Roman" w:hAnsi="Times New Roman" w:cs="Times New Roman"/>
          <w:bCs/>
        </w:rPr>
        <w:t xml:space="preserve">L'économie russe en mai a commencé à montrer les premiers signes de </w:t>
      </w:r>
      <w:r w:rsidR="00EB6BCC">
        <w:rPr>
          <w:rFonts w:ascii="Times New Roman" w:eastAsia="Times New Roman" w:hAnsi="Times New Roman" w:cs="Times New Roman"/>
          <w:bCs/>
        </w:rPr>
        <w:t>rebond</w:t>
      </w:r>
      <w:r w:rsidR="00EB6BCC" w:rsidRPr="00B62C2E">
        <w:rPr>
          <w:rFonts w:ascii="Times New Roman" w:eastAsia="Times New Roman" w:hAnsi="Times New Roman" w:cs="Times New Roman"/>
          <w:bCs/>
        </w:rPr>
        <w:t xml:space="preserve"> </w:t>
      </w:r>
      <w:r w:rsidR="001A70DC" w:rsidRPr="00B62C2E">
        <w:rPr>
          <w:rFonts w:ascii="Times New Roman" w:eastAsia="Times New Roman" w:hAnsi="Times New Roman" w:cs="Times New Roman"/>
          <w:bCs/>
        </w:rPr>
        <w:t xml:space="preserve">(après avoir chuté de 12% en avril selon les premières estimations du ministère du Développement économique), </w:t>
      </w:r>
      <w:r w:rsidR="00EB6BCC">
        <w:rPr>
          <w:rFonts w:ascii="Times New Roman" w:eastAsia="Times New Roman" w:hAnsi="Times New Roman" w:cs="Times New Roman"/>
          <w:bCs/>
        </w:rPr>
        <w:t>en lien avec</w:t>
      </w:r>
      <w:r w:rsidR="001A70DC" w:rsidRPr="00B62C2E">
        <w:rPr>
          <w:rFonts w:ascii="Times New Roman" w:eastAsia="Times New Roman" w:hAnsi="Times New Roman" w:cs="Times New Roman"/>
          <w:bCs/>
        </w:rPr>
        <w:t xml:space="preserve"> la levée progressive des mesures restrictives à partir du 12 mai (notamment </w:t>
      </w:r>
      <w:r w:rsidR="00350818">
        <w:rPr>
          <w:rFonts w:ascii="Times New Roman" w:eastAsia="Times New Roman" w:hAnsi="Times New Roman" w:cs="Times New Roman"/>
          <w:bCs/>
        </w:rPr>
        <w:t>la fin</w:t>
      </w:r>
      <w:r w:rsidR="00350818" w:rsidRPr="00B62C2E">
        <w:rPr>
          <w:rFonts w:ascii="Times New Roman" w:eastAsia="Times New Roman" w:hAnsi="Times New Roman" w:cs="Times New Roman"/>
          <w:bCs/>
        </w:rPr>
        <w:t xml:space="preserve"> </w:t>
      </w:r>
      <w:r w:rsidR="001A70DC" w:rsidRPr="00B62C2E">
        <w:rPr>
          <w:rFonts w:ascii="Times New Roman" w:eastAsia="Times New Roman" w:hAnsi="Times New Roman" w:cs="Times New Roman"/>
          <w:bCs/>
        </w:rPr>
        <w:t xml:space="preserve">des «jours chômés»). L’indice PMI du secteur manufacturier </w:t>
      </w:r>
      <w:r w:rsidR="00350818">
        <w:rPr>
          <w:rFonts w:ascii="Times New Roman" w:eastAsia="Times New Roman" w:hAnsi="Times New Roman" w:cs="Times New Roman"/>
          <w:bCs/>
        </w:rPr>
        <w:t>est remonté</w:t>
      </w:r>
      <w:r w:rsidR="001A70DC" w:rsidRPr="00B62C2E">
        <w:rPr>
          <w:rFonts w:ascii="Times New Roman" w:eastAsia="Times New Roman" w:hAnsi="Times New Roman" w:cs="Times New Roman"/>
          <w:bCs/>
        </w:rPr>
        <w:t xml:space="preserve"> à 36,2 points en mai 2020 contre 31,3 points en avril</w:t>
      </w:r>
      <w:r w:rsidR="00A33982">
        <w:rPr>
          <w:rFonts w:ascii="Times New Roman" w:eastAsia="Times New Roman" w:hAnsi="Times New Roman" w:cs="Times New Roman"/>
          <w:bCs/>
        </w:rPr>
        <w:t xml:space="preserve"> et </w:t>
      </w:r>
      <w:r w:rsidR="001A70DC" w:rsidRPr="00B62C2E">
        <w:rPr>
          <w:rFonts w:ascii="Times New Roman" w:eastAsia="Times New Roman" w:hAnsi="Times New Roman" w:cs="Times New Roman"/>
          <w:bCs/>
        </w:rPr>
        <w:t>celui des services s’est élevé à 35,9 points en mai 2020 contre 12,2 points en avril</w:t>
      </w:r>
      <w:r w:rsidR="00350818">
        <w:rPr>
          <w:rFonts w:ascii="Times New Roman" w:eastAsia="Times New Roman" w:hAnsi="Times New Roman" w:cs="Times New Roman"/>
          <w:bCs/>
        </w:rPr>
        <w:t xml:space="preserve">. </w:t>
      </w:r>
    </w:p>
    <w:p w14:paraId="22C0D2B3" w14:textId="77777777" w:rsidR="003A55CE" w:rsidRDefault="003A55CE" w:rsidP="003A55CE">
      <w:pPr>
        <w:jc w:val="both"/>
        <w:rPr>
          <w:rFonts w:ascii="Times New Roman" w:hAnsi="Times New Roman" w:cs="Times New Roman"/>
        </w:rPr>
      </w:pPr>
    </w:p>
    <w:p w14:paraId="5A5FF358" w14:textId="77777777" w:rsidR="003A55CE" w:rsidRPr="003A55CE" w:rsidRDefault="003A55CE" w:rsidP="003A55CE">
      <w:pPr>
        <w:jc w:val="both"/>
        <w:rPr>
          <w:rFonts w:ascii="Times New Roman" w:hAnsi="Times New Roman" w:cs="Times New Roman"/>
        </w:rPr>
      </w:pPr>
    </w:p>
    <w:p w14:paraId="168F9F43" w14:textId="31AA393B" w:rsidR="00DC5C47" w:rsidRDefault="006212AA" w:rsidP="00322550">
      <w:pPr>
        <w:spacing w:after="0"/>
        <w:jc w:val="both"/>
        <w:rPr>
          <w:rFonts w:ascii="Times New Roman" w:eastAsia="Times New Roman" w:hAnsi="Times New Roman" w:cs="Times New Roman"/>
          <w:b/>
          <w:bCs/>
        </w:rPr>
      </w:pPr>
      <w:r w:rsidRPr="00A019A0">
        <w:rPr>
          <w:rFonts w:ascii="Times New Roman" w:eastAsia="Times New Roman" w:hAnsi="Times New Roman" w:cs="Times New Roman"/>
          <w:b/>
          <w:bCs/>
          <w:u w:val="single"/>
        </w:rPr>
        <w:lastRenderedPageBreak/>
        <w:t>Impacts sectoriels</w:t>
      </w:r>
      <w:r w:rsidR="0002671B">
        <w:rPr>
          <w:rFonts w:ascii="Times New Roman" w:eastAsia="Times New Roman" w:hAnsi="Times New Roman" w:cs="Times New Roman"/>
          <w:b/>
          <w:bCs/>
          <w:u w:val="single"/>
        </w:rPr>
        <w:t>.</w:t>
      </w:r>
      <w:r w:rsidR="0002671B" w:rsidRPr="00EA429D">
        <w:rPr>
          <w:rFonts w:ascii="Times New Roman" w:eastAsia="Times New Roman" w:hAnsi="Times New Roman" w:cs="Times New Roman"/>
          <w:b/>
          <w:bCs/>
        </w:rPr>
        <w:t xml:space="preserve"> </w:t>
      </w:r>
    </w:p>
    <w:p w14:paraId="4D3E0678" w14:textId="77777777" w:rsidR="009B1F43" w:rsidRPr="009B1F43" w:rsidRDefault="009B1F43" w:rsidP="009B1F43">
      <w:pPr>
        <w:spacing w:after="0"/>
        <w:jc w:val="both"/>
        <w:rPr>
          <w:rFonts w:ascii="Times New Roman" w:hAnsi="Times New Roman" w:cs="Times New Roman"/>
          <w:b/>
          <w:u w:val="single"/>
          <w:lang w:eastAsia="fr-FR"/>
        </w:rPr>
      </w:pPr>
    </w:p>
    <w:p w14:paraId="5E1A8123" w14:textId="5F743E67" w:rsidR="00350818" w:rsidRDefault="007E69B9" w:rsidP="00F83ED0">
      <w:pPr>
        <w:spacing w:after="0"/>
        <w:jc w:val="both"/>
        <w:rPr>
          <w:rFonts w:ascii="Times New Roman" w:hAnsi="Times New Roman" w:cs="Times New Roman"/>
          <w:b/>
          <w:u w:val="single"/>
          <w:lang w:eastAsia="fr-FR"/>
        </w:rPr>
      </w:pPr>
      <w:r>
        <w:rPr>
          <w:rFonts w:ascii="Times New Roman" w:hAnsi="Times New Roman" w:cs="Times New Roman"/>
          <w:b/>
          <w:u w:val="single"/>
          <w:lang w:eastAsia="fr-FR"/>
        </w:rPr>
        <w:t>1</w:t>
      </w:r>
      <w:r w:rsidR="009B1F43">
        <w:rPr>
          <w:rFonts w:ascii="Times New Roman" w:hAnsi="Times New Roman" w:cs="Times New Roman"/>
          <w:b/>
          <w:u w:val="single"/>
          <w:lang w:eastAsia="fr-FR"/>
        </w:rPr>
        <w:t>|</w:t>
      </w:r>
      <w:r w:rsidR="00FA2236">
        <w:rPr>
          <w:rFonts w:ascii="Times New Roman" w:hAnsi="Times New Roman" w:cs="Times New Roman"/>
          <w:b/>
          <w:u w:val="single"/>
          <w:lang w:eastAsia="fr-FR"/>
        </w:rPr>
        <w:t xml:space="preserve"> </w:t>
      </w:r>
      <w:r w:rsidR="00350818">
        <w:rPr>
          <w:rFonts w:ascii="Times New Roman" w:hAnsi="Times New Roman" w:cs="Times New Roman"/>
          <w:b/>
          <w:u w:val="single"/>
          <w:lang w:eastAsia="fr-FR"/>
        </w:rPr>
        <w:t xml:space="preserve">Automobile. </w:t>
      </w:r>
      <w:r w:rsidR="00350818" w:rsidRPr="00B62C2E">
        <w:rPr>
          <w:rFonts w:ascii="Times New Roman" w:hAnsi="Times New Roman" w:cs="Times New Roman"/>
        </w:rPr>
        <w:t>Devant l’effondrement du marché, le ministère de l'Industrie et du Commerce a élaboré un projet de décret allouant 70 Mds RUB (±875 M</w:t>
      </w:r>
      <w:r w:rsidR="00350818">
        <w:rPr>
          <w:rFonts w:ascii="Times New Roman" w:hAnsi="Times New Roman" w:cs="Times New Roman"/>
        </w:rPr>
        <w:t xml:space="preserve"> </w:t>
      </w:r>
      <w:r w:rsidR="00350818" w:rsidRPr="0020066C">
        <w:rPr>
          <w:rFonts w:ascii="Times New Roman" w:hAnsi="Times New Roman" w:cs="Times New Roman"/>
        </w:rPr>
        <w:t>EUR</w:t>
      </w:r>
      <w:r w:rsidR="00350818" w:rsidRPr="00B62C2E">
        <w:rPr>
          <w:rFonts w:ascii="Times New Roman" w:hAnsi="Times New Roman" w:cs="Times New Roman"/>
        </w:rPr>
        <w:t>) pour soutenir les achats de voitures par les entreprises et organismes publics. Plus de 33 000 véhicules pourraient ainsi être achetés dans des conditions avantageuses, sous réserve qu’ils aient été produits en Russie.</w:t>
      </w:r>
    </w:p>
    <w:p w14:paraId="56D1F1E8" w14:textId="77777777" w:rsidR="00350818" w:rsidRDefault="00350818" w:rsidP="00F83ED0">
      <w:pPr>
        <w:spacing w:after="0"/>
        <w:jc w:val="both"/>
        <w:rPr>
          <w:rFonts w:ascii="Times New Roman" w:hAnsi="Times New Roman" w:cs="Times New Roman"/>
          <w:b/>
          <w:u w:val="single"/>
          <w:lang w:eastAsia="fr-FR"/>
        </w:rPr>
      </w:pPr>
    </w:p>
    <w:p w14:paraId="3B04F97C" w14:textId="63C89CB1" w:rsidR="00D46210" w:rsidRPr="00B62C2E" w:rsidRDefault="0020066C" w:rsidP="00F83ED0">
      <w:pPr>
        <w:spacing w:after="0"/>
        <w:jc w:val="both"/>
        <w:rPr>
          <w:rFonts w:ascii="Times New Roman" w:hAnsi="Times New Roman" w:cs="Times New Roman"/>
          <w:b/>
          <w:lang w:eastAsia="fr-FR"/>
        </w:rPr>
      </w:pPr>
      <w:r>
        <w:rPr>
          <w:rFonts w:ascii="Times New Roman" w:hAnsi="Times New Roman" w:cs="Times New Roman"/>
          <w:b/>
          <w:u w:val="single"/>
          <w:lang w:eastAsia="fr-FR"/>
        </w:rPr>
        <w:t xml:space="preserve">2| Transport routier. </w:t>
      </w:r>
      <w:r w:rsidRPr="00B62C2E">
        <w:rPr>
          <w:rFonts w:ascii="Times New Roman" w:hAnsi="Times New Roman" w:cs="Times New Roman"/>
          <w:lang w:eastAsia="fr-FR"/>
        </w:rPr>
        <w:t>L'investissement dans la construction d'autoroutes cette année pourrait augmenter de près de 8 Mds RUB (± 100 M€). Tout en soulignant que la construction d'infrastructures routières a un impact important sur les industries connexes dans le cadre des coupes budgétaires générales, les experts du secteur considèrent toutefois que le montant du financement supplémentaire n'est pas assez important.</w:t>
      </w:r>
    </w:p>
    <w:p w14:paraId="6C84BAF3" w14:textId="77777777" w:rsidR="00D46210" w:rsidRDefault="00D46210" w:rsidP="00BB55D9">
      <w:pPr>
        <w:spacing w:after="0"/>
        <w:jc w:val="both"/>
        <w:rPr>
          <w:rFonts w:ascii="Times New Roman" w:hAnsi="Times New Roman" w:cs="Times New Roman"/>
          <w:b/>
          <w:u w:val="single"/>
          <w:lang w:eastAsia="fr-FR"/>
        </w:rPr>
      </w:pPr>
    </w:p>
    <w:p w14:paraId="466AB5F8" w14:textId="2BBE8ACF" w:rsidR="004A100D" w:rsidRDefault="0020066C" w:rsidP="009B1F43">
      <w:pPr>
        <w:jc w:val="both"/>
        <w:rPr>
          <w:rFonts w:ascii="Times New Roman" w:hAnsi="Times New Roman" w:cs="Times New Roman"/>
          <w:lang w:eastAsia="fr-FR"/>
        </w:rPr>
      </w:pPr>
      <w:r>
        <w:rPr>
          <w:rFonts w:ascii="Times New Roman" w:hAnsi="Times New Roman" w:cs="Times New Roman"/>
          <w:b/>
          <w:u w:val="single"/>
          <w:lang w:eastAsia="fr-FR"/>
        </w:rPr>
        <w:t xml:space="preserve">3| Numérique. </w:t>
      </w:r>
      <w:r w:rsidRPr="00B62C2E">
        <w:rPr>
          <w:rFonts w:ascii="Times New Roman" w:hAnsi="Times New Roman" w:cs="Times New Roman"/>
          <w:lang w:eastAsia="fr-FR"/>
        </w:rPr>
        <w:t>Les associations professionnelles du secteur s’inquiète de l’exode massif des spécialistes des technologies de l’information. Cet exode (10 à 15</w:t>
      </w:r>
      <w:r w:rsidR="00D46210">
        <w:rPr>
          <w:rFonts w:ascii="Times New Roman" w:hAnsi="Times New Roman" w:cs="Times New Roman"/>
          <w:lang w:eastAsia="fr-FR"/>
        </w:rPr>
        <w:t xml:space="preserve"> </w:t>
      </w:r>
      <w:r w:rsidRPr="00B62C2E">
        <w:rPr>
          <w:rFonts w:ascii="Times New Roman" w:hAnsi="Times New Roman" w:cs="Times New Roman"/>
          <w:lang w:eastAsia="fr-FR"/>
        </w:rPr>
        <w:t>000 spécialistes pourraient s’expatrier en 2020-2021) est une des conséquences des nombreuses faillites qu’a connu le secteur durant le confinement et la baisse drastique des salaires qui s’en est suivie (d’après une enquête des professionnels du secteur, le revenu moyen des développeurs de logiciels russes en mai a diminué de près de moitié par rapport à la même période de l'année précédente</w:t>
      </w:r>
      <w:r w:rsidR="00D46210">
        <w:rPr>
          <w:rFonts w:ascii="Times New Roman" w:hAnsi="Times New Roman" w:cs="Times New Roman"/>
          <w:lang w:eastAsia="fr-FR"/>
        </w:rPr>
        <w:t xml:space="preserve"> </w:t>
      </w:r>
      <w:r w:rsidRPr="00B62C2E">
        <w:rPr>
          <w:rFonts w:ascii="Times New Roman" w:hAnsi="Times New Roman" w:cs="Times New Roman"/>
          <w:lang w:eastAsia="fr-FR"/>
        </w:rPr>
        <w:t>et plus de 10 % des entreprises ont déclaré qu'il avait diminué de plus de 90 %). Cette « fuite des cerveaux » sera particulièrement préjudiciable à ce secteur, avec une perte de savoir-faire difficilement rattrapable à court-moyen terme. Par ailleurs, la réduction du secteur IT entraînera aussi inévitablement un déclin de son activité d'exportation, ont averti les associations. À cet égard, elles ont demandé au gouvernement : (i) de reconnaître le secteur IT comme étant touché par la pandémie, ce qui signifierait que les entreprises pourraient bénéficier des mesures de soutien déjà prises par le gouvernement ; (ii) d'effectuer le paiement échelonné des primes d'assurance sur les salaires et de l'impôt sur le revenu des personnes physiques pour les entreprises fabriquant des produits informatiques pour 2020 et 2021-2024 ; (iii) de favoriser l’achat de logiciels russes dans les appels d’offres publics.</w:t>
      </w:r>
      <w:r w:rsidR="00E32B38">
        <w:rPr>
          <w:rFonts w:ascii="Times New Roman" w:hAnsi="Times New Roman" w:cs="Times New Roman"/>
          <w:lang w:eastAsia="fr-FR"/>
        </w:rPr>
        <w:t xml:space="preserve"> </w:t>
      </w:r>
    </w:p>
    <w:p w14:paraId="14D4D259" w14:textId="48BC6348" w:rsidR="007A3803" w:rsidRDefault="00E32B38" w:rsidP="007A3803">
      <w:pPr>
        <w:jc w:val="both"/>
        <w:rPr>
          <w:rFonts w:ascii="Times New Roman" w:eastAsia="Times New Roman" w:hAnsi="Times New Roman" w:cs="Times New Roman"/>
        </w:rPr>
      </w:pPr>
      <w:r w:rsidRPr="00BB55D9">
        <w:rPr>
          <w:rFonts w:ascii="Times New Roman" w:hAnsi="Times New Roman" w:cs="Times New Roman"/>
          <w:b/>
          <w:u w:val="single"/>
          <w:lang w:eastAsia="fr-FR"/>
        </w:rPr>
        <w:t>4| Agroalimentaire.</w:t>
      </w:r>
      <w:r w:rsidR="007A3803" w:rsidRPr="007A3803">
        <w:rPr>
          <w:rFonts w:ascii="Times New Roman" w:eastAsia="Times New Roman" w:hAnsi="Times New Roman" w:cs="Times New Roman"/>
        </w:rPr>
        <w:t xml:space="preserve"> </w:t>
      </w:r>
      <w:r w:rsidR="007A3803">
        <w:rPr>
          <w:rFonts w:ascii="Times New Roman" w:eastAsia="Times New Roman" w:hAnsi="Times New Roman" w:cs="Times New Roman"/>
        </w:rPr>
        <w:t xml:space="preserve">Le 3 juin, à l’occasion d’une nouvelle réunion de suivi de la situation dans les secteurs agricoles et agroalimentaires dans le contexte </w:t>
      </w:r>
      <w:proofErr w:type="spellStart"/>
      <w:r w:rsidR="007A3803">
        <w:rPr>
          <w:rFonts w:ascii="Times New Roman" w:eastAsia="Times New Roman" w:hAnsi="Times New Roman" w:cs="Times New Roman"/>
        </w:rPr>
        <w:t>Covid</w:t>
      </w:r>
      <w:proofErr w:type="spellEnd"/>
      <w:r w:rsidR="007A3803">
        <w:rPr>
          <w:rFonts w:ascii="Times New Roman" w:eastAsia="Times New Roman" w:hAnsi="Times New Roman" w:cs="Times New Roman"/>
        </w:rPr>
        <w:t>, en présence</w:t>
      </w:r>
      <w:r w:rsidR="007A3803" w:rsidRPr="002B388B">
        <w:rPr>
          <w:rFonts w:ascii="Times New Roman" w:eastAsia="Times New Roman" w:hAnsi="Times New Roman" w:cs="Times New Roman"/>
        </w:rPr>
        <w:t xml:space="preserve"> </w:t>
      </w:r>
      <w:r w:rsidR="007A3803">
        <w:rPr>
          <w:rFonts w:ascii="Times New Roman" w:eastAsia="Times New Roman" w:hAnsi="Times New Roman" w:cs="Times New Roman"/>
        </w:rPr>
        <w:t xml:space="preserve">de </w:t>
      </w:r>
      <w:r w:rsidR="007A3803" w:rsidRPr="002B388B">
        <w:rPr>
          <w:rFonts w:ascii="Times New Roman" w:eastAsia="Times New Roman" w:hAnsi="Times New Roman" w:cs="Times New Roman"/>
        </w:rPr>
        <w:t xml:space="preserve">représentants </w:t>
      </w:r>
      <w:r w:rsidR="007A3803">
        <w:rPr>
          <w:rFonts w:ascii="Times New Roman" w:eastAsia="Times New Roman" w:hAnsi="Times New Roman" w:cs="Times New Roman"/>
        </w:rPr>
        <w:t>des administrations fédérale et régionales et des organisations agricoles, le ministère de l’agriculture a confirmé la situation stable des marchés, à l’exception de pénurie</w:t>
      </w:r>
      <w:r w:rsidR="008F599F">
        <w:rPr>
          <w:rFonts w:ascii="Times New Roman" w:eastAsia="Times New Roman" w:hAnsi="Times New Roman" w:cs="Times New Roman"/>
        </w:rPr>
        <w:t>s</w:t>
      </w:r>
      <w:r w:rsidR="007A3803">
        <w:rPr>
          <w:rFonts w:ascii="Times New Roman" w:eastAsia="Times New Roman" w:hAnsi="Times New Roman" w:cs="Times New Roman"/>
        </w:rPr>
        <w:t xml:space="preserve"> de produit</w:t>
      </w:r>
      <w:r w:rsidR="008F599F">
        <w:rPr>
          <w:rFonts w:ascii="Times New Roman" w:eastAsia="Times New Roman" w:hAnsi="Times New Roman" w:cs="Times New Roman"/>
        </w:rPr>
        <w:t>s maraichers en extrême orient. Pour remédier à ce problème des transports subventionnés seront mis en place</w:t>
      </w:r>
      <w:r w:rsidR="007A3803">
        <w:rPr>
          <w:rFonts w:ascii="Times New Roman" w:eastAsia="Times New Roman" w:hAnsi="Times New Roman" w:cs="Times New Roman"/>
        </w:rPr>
        <w:t>. Les travaux agricoles de printemps se déroulent normalement (47</w:t>
      </w:r>
      <w:r w:rsidR="007A3803" w:rsidRPr="002B388B">
        <w:rPr>
          <w:rFonts w:ascii="Times New Roman" w:eastAsia="Times New Roman" w:hAnsi="Times New Roman" w:cs="Times New Roman"/>
        </w:rPr>
        <w:t xml:space="preserve"> millions d'hectares</w:t>
      </w:r>
      <w:r w:rsidR="007A3803">
        <w:rPr>
          <w:rFonts w:ascii="Times New Roman" w:eastAsia="Times New Roman" w:hAnsi="Times New Roman" w:cs="Times New Roman"/>
        </w:rPr>
        <w:t xml:space="preserve"> semés, soit près de 91% de la surface prévue). Le ministère a confirmé la mise en place d’assouplissement des conditions de remboursement des prêts bonifiés à court terme (trésorerie) et long terme (investissement) pour les entreprises du secteur: report d’un an des dates limites de remboursement du capital et des intérêts,</w:t>
      </w:r>
      <w:r w:rsidR="007A3803" w:rsidRPr="00F929A1">
        <w:rPr>
          <w:rFonts w:ascii="Times New Roman" w:eastAsia="Times New Roman" w:hAnsi="Times New Roman" w:cs="Times New Roman"/>
        </w:rPr>
        <w:t xml:space="preserve"> </w:t>
      </w:r>
      <w:r w:rsidR="007A3803">
        <w:rPr>
          <w:rFonts w:ascii="Times New Roman" w:eastAsia="Times New Roman" w:hAnsi="Times New Roman" w:cs="Times New Roman"/>
        </w:rPr>
        <w:t xml:space="preserve">et </w:t>
      </w:r>
      <w:r w:rsidR="007A3803" w:rsidRPr="002B388B">
        <w:rPr>
          <w:rFonts w:ascii="Times New Roman" w:eastAsia="Times New Roman" w:hAnsi="Times New Roman" w:cs="Times New Roman"/>
        </w:rPr>
        <w:t xml:space="preserve">augmentation </w:t>
      </w:r>
      <w:r w:rsidR="007A3803">
        <w:rPr>
          <w:rFonts w:ascii="Times New Roman" w:eastAsia="Times New Roman" w:hAnsi="Times New Roman" w:cs="Times New Roman"/>
        </w:rPr>
        <w:t xml:space="preserve">à 15 M EUR du plafond d’emprunt par entrepreneur. La gestion difficile (abus du système de réservation temporaire) du contingent à l’exportation de céréales (blé, seigle, orge, </w:t>
      </w:r>
      <w:r w:rsidR="007A3803" w:rsidRPr="00AC19D5">
        <w:rPr>
          <w:rFonts w:ascii="Times New Roman" w:eastAsia="Times New Roman" w:hAnsi="Times New Roman" w:cs="Times New Roman"/>
        </w:rPr>
        <w:t xml:space="preserve">maïs) </w:t>
      </w:r>
      <w:r w:rsidR="007A3803">
        <w:rPr>
          <w:rFonts w:ascii="Times New Roman" w:eastAsia="Times New Roman" w:hAnsi="Times New Roman" w:cs="Times New Roman"/>
        </w:rPr>
        <w:t>à destination d</w:t>
      </w:r>
      <w:r w:rsidR="007A3803" w:rsidRPr="00AC19D5">
        <w:rPr>
          <w:rFonts w:ascii="Times New Roman" w:eastAsia="Times New Roman" w:hAnsi="Times New Roman" w:cs="Times New Roman"/>
        </w:rPr>
        <w:t xml:space="preserve">es pays tiers </w:t>
      </w:r>
      <w:r w:rsidR="007A3803">
        <w:rPr>
          <w:rFonts w:ascii="Times New Roman" w:eastAsia="Times New Roman" w:hAnsi="Times New Roman" w:cs="Times New Roman"/>
        </w:rPr>
        <w:t>hors Union économique eurasiatique (</w:t>
      </w:r>
      <w:r w:rsidR="007A3803" w:rsidRPr="00AC19D5">
        <w:rPr>
          <w:rFonts w:ascii="Times New Roman" w:eastAsia="Times New Roman" w:hAnsi="Times New Roman" w:cs="Times New Roman"/>
        </w:rPr>
        <w:t xml:space="preserve">7 </w:t>
      </w:r>
      <w:r w:rsidR="007A3803">
        <w:rPr>
          <w:rFonts w:ascii="Times New Roman" w:eastAsia="Times New Roman" w:hAnsi="Times New Roman" w:cs="Times New Roman"/>
        </w:rPr>
        <w:t>Mt</w:t>
      </w:r>
      <w:r w:rsidR="007A3803" w:rsidRPr="00AC19D5">
        <w:rPr>
          <w:rFonts w:ascii="Times New Roman" w:eastAsia="Times New Roman" w:hAnsi="Times New Roman" w:cs="Times New Roman"/>
        </w:rPr>
        <w:t xml:space="preserve"> du 1er avril au 30 juin 2020</w:t>
      </w:r>
      <w:r w:rsidR="007A3803">
        <w:rPr>
          <w:rFonts w:ascii="Times New Roman" w:eastAsia="Times New Roman" w:hAnsi="Times New Roman" w:cs="Times New Roman"/>
        </w:rPr>
        <w:t xml:space="preserve">) mis en place par le gouvernement pour sécuriser l’approvisionnement domestique, conduit à un projet d’évolution des modalités de réservation et une augmentation du </w:t>
      </w:r>
      <w:r w:rsidR="007A3803" w:rsidRPr="001218FD">
        <w:rPr>
          <w:rFonts w:ascii="Times New Roman" w:eastAsia="Times New Roman" w:hAnsi="Times New Roman" w:cs="Times New Roman"/>
        </w:rPr>
        <w:t>fo</w:t>
      </w:r>
      <w:r w:rsidR="007A3803">
        <w:rPr>
          <w:rFonts w:ascii="Times New Roman" w:eastAsia="Times New Roman" w:hAnsi="Times New Roman" w:cs="Times New Roman"/>
        </w:rPr>
        <w:t>nds d'intervention céréalière (réserve publique) qui devrait être porté à 6 Mt</w:t>
      </w:r>
      <w:r w:rsidR="007A3803" w:rsidRPr="001218FD">
        <w:rPr>
          <w:rFonts w:ascii="Times New Roman" w:eastAsia="Times New Roman" w:hAnsi="Times New Roman" w:cs="Times New Roman"/>
        </w:rPr>
        <w:t xml:space="preserve"> </w:t>
      </w:r>
      <w:r w:rsidR="007A3803">
        <w:rPr>
          <w:rFonts w:ascii="Times New Roman" w:eastAsia="Times New Roman" w:hAnsi="Times New Roman" w:cs="Times New Roman"/>
        </w:rPr>
        <w:t xml:space="preserve">(1 mois de consommation russe) pour les campagnes à venir, dont une partie sera réservée à l’achat par les meuniers. Les prévisions pour la campagne 20-21 sont cependant optimistes (120 Mt). </w:t>
      </w:r>
      <w:r w:rsidR="007A3803" w:rsidRPr="001218FD">
        <w:rPr>
          <w:rFonts w:ascii="Times New Roman" w:eastAsia="Times New Roman" w:hAnsi="Times New Roman" w:cs="Times New Roman"/>
        </w:rPr>
        <w:t xml:space="preserve">450 000 tonnes </w:t>
      </w:r>
      <w:r w:rsidR="007A3803">
        <w:rPr>
          <w:rFonts w:ascii="Times New Roman" w:eastAsia="Times New Roman" w:hAnsi="Times New Roman" w:cs="Times New Roman"/>
        </w:rPr>
        <w:t>doivent encore être exportées en juin contre 1,4</w:t>
      </w:r>
      <w:r w:rsidR="007A3803" w:rsidRPr="001218FD">
        <w:rPr>
          <w:rFonts w:ascii="Times New Roman" w:eastAsia="Times New Roman" w:hAnsi="Times New Roman" w:cs="Times New Roman"/>
        </w:rPr>
        <w:t xml:space="preserve"> million de tonnes</w:t>
      </w:r>
      <w:r w:rsidR="007A3803">
        <w:rPr>
          <w:rFonts w:ascii="Times New Roman" w:eastAsia="Times New Roman" w:hAnsi="Times New Roman" w:cs="Times New Roman"/>
        </w:rPr>
        <w:t xml:space="preserve"> l’année dernière.</w:t>
      </w:r>
    </w:p>
    <w:p w14:paraId="7D3D5FB7" w14:textId="7669EC07" w:rsidR="00E32B38" w:rsidRPr="00BB55D9" w:rsidRDefault="00E32B38" w:rsidP="009B1F43">
      <w:pPr>
        <w:jc w:val="both"/>
        <w:rPr>
          <w:rFonts w:ascii="Times New Roman" w:hAnsi="Times New Roman" w:cs="Times New Roman"/>
          <w:b/>
          <w:u w:val="single"/>
          <w:lang w:eastAsia="fr-FR"/>
        </w:rPr>
      </w:pPr>
    </w:p>
    <w:sectPr w:rsidR="00E32B38" w:rsidRPr="00BB55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B4D41"/>
    <w:multiLevelType w:val="hybridMultilevel"/>
    <w:tmpl w:val="39700C2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67407B"/>
    <w:multiLevelType w:val="hybridMultilevel"/>
    <w:tmpl w:val="D0D87936"/>
    <w:styleLink w:val="Tiret"/>
    <w:lvl w:ilvl="0" w:tplc="88E09724">
      <w:start w:val="1"/>
      <w:numFmt w:val="bullet"/>
      <w:lvlText w:val="-"/>
      <w:lvlJc w:val="left"/>
      <w:pPr>
        <w:ind w:left="2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tplc="D39A798C">
      <w:start w:val="1"/>
      <w:numFmt w:val="bullet"/>
      <w:lvlText w:val="-"/>
      <w:lvlJc w:val="left"/>
      <w:pPr>
        <w:ind w:left="5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2" w:tplc="832E0C00">
      <w:start w:val="1"/>
      <w:numFmt w:val="bullet"/>
      <w:lvlText w:val="-"/>
      <w:lvlJc w:val="left"/>
      <w:pPr>
        <w:ind w:left="7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3" w:tplc="D5D4B81E">
      <w:start w:val="1"/>
      <w:numFmt w:val="bullet"/>
      <w:lvlText w:val="-"/>
      <w:lvlJc w:val="left"/>
      <w:pPr>
        <w:ind w:left="9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4" w:tplc="0136CB8E">
      <w:start w:val="1"/>
      <w:numFmt w:val="bullet"/>
      <w:lvlText w:val="-"/>
      <w:lvlJc w:val="left"/>
      <w:pPr>
        <w:ind w:left="122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5" w:tplc="8516463A">
      <w:start w:val="1"/>
      <w:numFmt w:val="bullet"/>
      <w:lvlText w:val="-"/>
      <w:lvlJc w:val="left"/>
      <w:pPr>
        <w:ind w:left="14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6" w:tplc="B686B01C">
      <w:start w:val="1"/>
      <w:numFmt w:val="bullet"/>
      <w:lvlText w:val="-"/>
      <w:lvlJc w:val="left"/>
      <w:pPr>
        <w:ind w:left="17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7" w:tplc="CBC6E82A">
      <w:start w:val="1"/>
      <w:numFmt w:val="bullet"/>
      <w:lvlText w:val="-"/>
      <w:lvlJc w:val="left"/>
      <w:pPr>
        <w:ind w:left="19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8" w:tplc="515ED550">
      <w:start w:val="1"/>
      <w:numFmt w:val="bullet"/>
      <w:lvlText w:val="-"/>
      <w:lvlJc w:val="left"/>
      <w:pPr>
        <w:ind w:left="21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abstractNum>
  <w:abstractNum w:abstractNumId="3" w15:restartNumberingAfterBreak="0">
    <w:nsid w:val="1DC55196"/>
    <w:multiLevelType w:val="hybridMultilevel"/>
    <w:tmpl w:val="25940EA6"/>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25BA0258"/>
    <w:multiLevelType w:val="hybridMultilevel"/>
    <w:tmpl w:val="D0D87936"/>
    <w:numStyleLink w:val="Tiret"/>
  </w:abstractNum>
  <w:abstractNum w:abstractNumId="5" w15:restartNumberingAfterBreak="0">
    <w:nsid w:val="5B243412"/>
    <w:multiLevelType w:val="hybridMultilevel"/>
    <w:tmpl w:val="2FECEAE0"/>
    <w:lvl w:ilvl="0" w:tplc="A254EFC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473CCE"/>
    <w:multiLevelType w:val="hybridMultilevel"/>
    <w:tmpl w:val="3F8AEF18"/>
    <w:lvl w:ilvl="0" w:tplc="39502BE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6CD45A21"/>
    <w:multiLevelType w:val="hybridMultilevel"/>
    <w:tmpl w:val="DF22C99A"/>
    <w:lvl w:ilvl="0" w:tplc="A4E8D1D4">
      <w:numFmt w:val="bullet"/>
      <w:lvlText w:val="-"/>
      <w:lvlJc w:val="left"/>
      <w:pPr>
        <w:ind w:left="1068" w:hanging="360"/>
      </w:pPr>
      <w:rPr>
        <w:rFonts w:ascii="Segoe UI" w:eastAsia="Times New Roman" w:hAnsi="Segoe UI" w:cs="Segoe UI" w:hint="default"/>
        <w:color w:val="006CE5"/>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6"/>
  </w:num>
  <w:num w:numId="2">
    <w:abstractNumId w:val="1"/>
  </w:num>
  <w:num w:numId="3">
    <w:abstractNumId w:val="7"/>
  </w:num>
  <w:num w:numId="4">
    <w:abstractNumId w:val="1"/>
  </w:num>
  <w:num w:numId="5">
    <w:abstractNumId w:val="5"/>
  </w:num>
  <w:num w:numId="6">
    <w:abstractNumId w:val="3"/>
  </w:num>
  <w:num w:numId="7">
    <w:abstractNumId w:val="0"/>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00D"/>
    <w:rsid w:val="00004DCB"/>
    <w:rsid w:val="0002671B"/>
    <w:rsid w:val="00032C65"/>
    <w:rsid w:val="00041373"/>
    <w:rsid w:val="000819A6"/>
    <w:rsid w:val="00085015"/>
    <w:rsid w:val="000B11BA"/>
    <w:rsid w:val="000D09D8"/>
    <w:rsid w:val="000D388A"/>
    <w:rsid w:val="000D38CE"/>
    <w:rsid w:val="000E3B8E"/>
    <w:rsid w:val="000E63C4"/>
    <w:rsid w:val="0017038B"/>
    <w:rsid w:val="00177A79"/>
    <w:rsid w:val="0018126A"/>
    <w:rsid w:val="001846E0"/>
    <w:rsid w:val="001A70DC"/>
    <w:rsid w:val="001B533D"/>
    <w:rsid w:val="001D4268"/>
    <w:rsid w:val="001E6894"/>
    <w:rsid w:val="0020066C"/>
    <w:rsid w:val="00212E85"/>
    <w:rsid w:val="00223455"/>
    <w:rsid w:val="0023306B"/>
    <w:rsid w:val="002477D0"/>
    <w:rsid w:val="002576FB"/>
    <w:rsid w:val="002C72F2"/>
    <w:rsid w:val="002E0B33"/>
    <w:rsid w:val="002E0D6D"/>
    <w:rsid w:val="002F2E02"/>
    <w:rsid w:val="00306E22"/>
    <w:rsid w:val="00322550"/>
    <w:rsid w:val="003249A7"/>
    <w:rsid w:val="003262ED"/>
    <w:rsid w:val="003335CE"/>
    <w:rsid w:val="00350818"/>
    <w:rsid w:val="003517B9"/>
    <w:rsid w:val="00372CE0"/>
    <w:rsid w:val="0037322A"/>
    <w:rsid w:val="00395AA9"/>
    <w:rsid w:val="003A55CE"/>
    <w:rsid w:val="003D0ED8"/>
    <w:rsid w:val="00457575"/>
    <w:rsid w:val="00460C15"/>
    <w:rsid w:val="00467AD5"/>
    <w:rsid w:val="00477806"/>
    <w:rsid w:val="0049216E"/>
    <w:rsid w:val="004A032F"/>
    <w:rsid w:val="004A100D"/>
    <w:rsid w:val="004A34F0"/>
    <w:rsid w:val="004A3EC5"/>
    <w:rsid w:val="004B67ED"/>
    <w:rsid w:val="00513FE5"/>
    <w:rsid w:val="00556BC3"/>
    <w:rsid w:val="005B041F"/>
    <w:rsid w:val="005E0C67"/>
    <w:rsid w:val="005E583B"/>
    <w:rsid w:val="005F285C"/>
    <w:rsid w:val="006212AA"/>
    <w:rsid w:val="00622217"/>
    <w:rsid w:val="00643D8E"/>
    <w:rsid w:val="00651861"/>
    <w:rsid w:val="00652FE5"/>
    <w:rsid w:val="006A0EE7"/>
    <w:rsid w:val="007017E9"/>
    <w:rsid w:val="00724BCB"/>
    <w:rsid w:val="0078081D"/>
    <w:rsid w:val="007A3803"/>
    <w:rsid w:val="007C0F22"/>
    <w:rsid w:val="007E69B9"/>
    <w:rsid w:val="008602CC"/>
    <w:rsid w:val="00881572"/>
    <w:rsid w:val="008829FF"/>
    <w:rsid w:val="00882B6A"/>
    <w:rsid w:val="008D287E"/>
    <w:rsid w:val="008E04B5"/>
    <w:rsid w:val="008F22C3"/>
    <w:rsid w:val="008F45C3"/>
    <w:rsid w:val="008F599F"/>
    <w:rsid w:val="00912723"/>
    <w:rsid w:val="0093220C"/>
    <w:rsid w:val="00933CD1"/>
    <w:rsid w:val="0093594F"/>
    <w:rsid w:val="009441FB"/>
    <w:rsid w:val="00947FCC"/>
    <w:rsid w:val="00960F58"/>
    <w:rsid w:val="00982CA6"/>
    <w:rsid w:val="009877E9"/>
    <w:rsid w:val="009A237F"/>
    <w:rsid w:val="009B1F43"/>
    <w:rsid w:val="009B4169"/>
    <w:rsid w:val="00A019A0"/>
    <w:rsid w:val="00A16B98"/>
    <w:rsid w:val="00A33982"/>
    <w:rsid w:val="00A454DD"/>
    <w:rsid w:val="00A50200"/>
    <w:rsid w:val="00A5465D"/>
    <w:rsid w:val="00A90F1F"/>
    <w:rsid w:val="00A9603C"/>
    <w:rsid w:val="00AB67C0"/>
    <w:rsid w:val="00AE7EE1"/>
    <w:rsid w:val="00B02D37"/>
    <w:rsid w:val="00B10B57"/>
    <w:rsid w:val="00B320C7"/>
    <w:rsid w:val="00B62C2E"/>
    <w:rsid w:val="00B66878"/>
    <w:rsid w:val="00B94B96"/>
    <w:rsid w:val="00BB55D9"/>
    <w:rsid w:val="00BF2751"/>
    <w:rsid w:val="00C240B8"/>
    <w:rsid w:val="00C3373C"/>
    <w:rsid w:val="00C728FB"/>
    <w:rsid w:val="00C762BE"/>
    <w:rsid w:val="00C84DAB"/>
    <w:rsid w:val="00CB21B7"/>
    <w:rsid w:val="00CB62E5"/>
    <w:rsid w:val="00CE3ED2"/>
    <w:rsid w:val="00D00F0E"/>
    <w:rsid w:val="00D042A3"/>
    <w:rsid w:val="00D06EA3"/>
    <w:rsid w:val="00D07C06"/>
    <w:rsid w:val="00D268FC"/>
    <w:rsid w:val="00D31010"/>
    <w:rsid w:val="00D46210"/>
    <w:rsid w:val="00D50D3C"/>
    <w:rsid w:val="00D73047"/>
    <w:rsid w:val="00D852C0"/>
    <w:rsid w:val="00DC5C47"/>
    <w:rsid w:val="00DE4746"/>
    <w:rsid w:val="00DE4D13"/>
    <w:rsid w:val="00E048A4"/>
    <w:rsid w:val="00E16837"/>
    <w:rsid w:val="00E32B38"/>
    <w:rsid w:val="00E508A0"/>
    <w:rsid w:val="00E5564A"/>
    <w:rsid w:val="00E579F2"/>
    <w:rsid w:val="00E66070"/>
    <w:rsid w:val="00E750C2"/>
    <w:rsid w:val="00E97CAC"/>
    <w:rsid w:val="00EA429D"/>
    <w:rsid w:val="00EB6BCC"/>
    <w:rsid w:val="00ED2159"/>
    <w:rsid w:val="00EE7105"/>
    <w:rsid w:val="00F06216"/>
    <w:rsid w:val="00F103F5"/>
    <w:rsid w:val="00F44AF4"/>
    <w:rsid w:val="00F83ED0"/>
    <w:rsid w:val="00F84ABB"/>
    <w:rsid w:val="00FA2236"/>
    <w:rsid w:val="00FB1C5F"/>
    <w:rsid w:val="00FC5E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AA861"/>
  <w15:docId w15:val="{A3011AEB-43EB-4B53-AB88-EC47082E0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00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 1"/>
    <w:basedOn w:val="Sansinterligne"/>
    <w:link w:val="Style1Car"/>
    <w:qFormat/>
    <w:rsid w:val="004A100D"/>
    <w:pPr>
      <w:shd w:val="clear" w:color="auto" w:fill="006CE5"/>
      <w:jc w:val="center"/>
      <w:outlineLvl w:val="0"/>
    </w:pPr>
    <w:rPr>
      <w:rFonts w:ascii="Times New Roman" w:hAnsi="Times New Roman" w:cs="Times New Roman"/>
      <w:b/>
      <w:color w:val="FFFFFF" w:themeColor="background1"/>
    </w:rPr>
  </w:style>
  <w:style w:type="character" w:customStyle="1" w:styleId="Style1Car">
    <w:name w:val="Style 1 Car"/>
    <w:basedOn w:val="Policepardfaut"/>
    <w:link w:val="Style1"/>
    <w:rsid w:val="004A100D"/>
    <w:rPr>
      <w:rFonts w:ascii="Times New Roman" w:hAnsi="Times New Roman" w:cs="Times New Roman"/>
      <w:b/>
      <w:color w:val="FFFFFF" w:themeColor="background1"/>
      <w:shd w:val="clear" w:color="auto" w:fill="006CE5"/>
    </w:rPr>
  </w:style>
  <w:style w:type="paragraph" w:styleId="Sansinterligne">
    <w:name w:val="No Spacing"/>
    <w:uiPriority w:val="1"/>
    <w:qFormat/>
    <w:rsid w:val="004A100D"/>
    <w:pPr>
      <w:spacing w:after="0" w:line="240" w:lineRule="auto"/>
    </w:pPr>
  </w:style>
  <w:style w:type="character" w:styleId="Marquedecommentaire">
    <w:name w:val="annotation reference"/>
    <w:basedOn w:val="Policepardfaut"/>
    <w:uiPriority w:val="99"/>
    <w:semiHidden/>
    <w:unhideWhenUsed/>
    <w:rsid w:val="006212AA"/>
    <w:rPr>
      <w:sz w:val="16"/>
      <w:szCs w:val="16"/>
    </w:rPr>
  </w:style>
  <w:style w:type="paragraph" w:styleId="Commentaire">
    <w:name w:val="annotation text"/>
    <w:basedOn w:val="Normal"/>
    <w:link w:val="CommentaireCar"/>
    <w:uiPriority w:val="99"/>
    <w:semiHidden/>
    <w:unhideWhenUsed/>
    <w:rsid w:val="006212AA"/>
    <w:pPr>
      <w:spacing w:line="240" w:lineRule="auto"/>
    </w:pPr>
    <w:rPr>
      <w:sz w:val="20"/>
      <w:szCs w:val="20"/>
    </w:rPr>
  </w:style>
  <w:style w:type="character" w:customStyle="1" w:styleId="CommentaireCar">
    <w:name w:val="Commentaire Car"/>
    <w:basedOn w:val="Policepardfaut"/>
    <w:link w:val="Commentaire"/>
    <w:uiPriority w:val="99"/>
    <w:semiHidden/>
    <w:rsid w:val="006212AA"/>
    <w:rPr>
      <w:sz w:val="20"/>
      <w:szCs w:val="20"/>
    </w:rPr>
  </w:style>
  <w:style w:type="paragraph" w:styleId="Objetducommentaire">
    <w:name w:val="annotation subject"/>
    <w:basedOn w:val="Commentaire"/>
    <w:next w:val="Commentaire"/>
    <w:link w:val="ObjetducommentaireCar"/>
    <w:uiPriority w:val="99"/>
    <w:semiHidden/>
    <w:unhideWhenUsed/>
    <w:rsid w:val="006212AA"/>
    <w:rPr>
      <w:b/>
      <w:bCs/>
    </w:rPr>
  </w:style>
  <w:style w:type="character" w:customStyle="1" w:styleId="ObjetducommentaireCar">
    <w:name w:val="Objet du commentaire Car"/>
    <w:basedOn w:val="CommentaireCar"/>
    <w:link w:val="Objetducommentaire"/>
    <w:uiPriority w:val="99"/>
    <w:semiHidden/>
    <w:rsid w:val="006212AA"/>
    <w:rPr>
      <w:b/>
      <w:bCs/>
      <w:sz w:val="20"/>
      <w:szCs w:val="20"/>
    </w:rPr>
  </w:style>
  <w:style w:type="paragraph" w:styleId="Textedebulles">
    <w:name w:val="Balloon Text"/>
    <w:basedOn w:val="Normal"/>
    <w:link w:val="TextedebullesCar"/>
    <w:uiPriority w:val="99"/>
    <w:semiHidden/>
    <w:unhideWhenUsed/>
    <w:rsid w:val="006212A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12AA"/>
    <w:rPr>
      <w:rFonts w:ascii="Segoe UI" w:hAnsi="Segoe UI" w:cs="Segoe UI"/>
      <w:sz w:val="18"/>
      <w:szCs w:val="18"/>
    </w:rPr>
  </w:style>
  <w:style w:type="paragraph" w:styleId="Paragraphedeliste">
    <w:name w:val="List Paragraph"/>
    <w:basedOn w:val="Normal"/>
    <w:uiPriority w:val="34"/>
    <w:qFormat/>
    <w:rsid w:val="006212AA"/>
    <w:pPr>
      <w:spacing w:line="252" w:lineRule="auto"/>
      <w:ind w:left="720"/>
    </w:pPr>
    <w:rPr>
      <w:rFonts w:ascii="Calibri" w:hAnsi="Calibri" w:cs="Calibri"/>
      <w:lang w:eastAsia="fr-FR"/>
    </w:rPr>
  </w:style>
  <w:style w:type="paragraph" w:customStyle="1" w:styleId="Briefinglist1">
    <w:name w:val="Briefing list 1"/>
    <w:basedOn w:val="Normal"/>
    <w:rsid w:val="00D852C0"/>
    <w:pPr>
      <w:keepLines/>
      <w:numPr>
        <w:numId w:val="2"/>
      </w:numPr>
      <w:spacing w:after="120" w:line="240" w:lineRule="auto"/>
      <w:jc w:val="both"/>
    </w:pPr>
    <w:rPr>
      <w:rFonts w:ascii="Arial" w:eastAsia="SimSun" w:hAnsi="Arial" w:cs="Arial"/>
      <w:szCs w:val="24"/>
      <w:lang w:val="en-GB"/>
    </w:rPr>
  </w:style>
  <w:style w:type="character" w:customStyle="1" w:styleId="tlid-translation">
    <w:name w:val="tlid-translation"/>
    <w:basedOn w:val="Policepardfaut"/>
    <w:rsid w:val="00652FE5"/>
  </w:style>
  <w:style w:type="paragraph" w:customStyle="1" w:styleId="Styledetableau2">
    <w:name w:val="Style de tableau 2"/>
    <w:rsid w:val="00652FE5"/>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eastAsia="fr-FR"/>
      <w14:textOutline w14:w="0" w14:cap="flat" w14:cmpd="sng" w14:algn="ctr">
        <w14:noFill/>
        <w14:prstDash w14:val="solid"/>
        <w14:bevel/>
      </w14:textOutline>
    </w:rPr>
  </w:style>
  <w:style w:type="numbering" w:customStyle="1" w:styleId="Tiret">
    <w:name w:val="Tiret"/>
    <w:rsid w:val="00477806"/>
    <w:pPr>
      <w:numPr>
        <w:numId w:val="8"/>
      </w:numPr>
    </w:pPr>
  </w:style>
  <w:style w:type="character" w:styleId="Lienhypertexte">
    <w:name w:val="Hyperlink"/>
    <w:basedOn w:val="Policepardfaut"/>
    <w:uiPriority w:val="99"/>
    <w:semiHidden/>
    <w:unhideWhenUsed/>
    <w:rsid w:val="00AE7EE1"/>
    <w:rPr>
      <w:color w:val="0000FF"/>
      <w:u w:val="single"/>
    </w:rPr>
  </w:style>
  <w:style w:type="paragraph" w:styleId="Rvision">
    <w:name w:val="Revision"/>
    <w:hidden/>
    <w:uiPriority w:val="99"/>
    <w:semiHidden/>
    <w:rsid w:val="002330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41503">
      <w:bodyDiv w:val="1"/>
      <w:marLeft w:val="0"/>
      <w:marRight w:val="0"/>
      <w:marTop w:val="0"/>
      <w:marBottom w:val="0"/>
      <w:divBdr>
        <w:top w:val="none" w:sz="0" w:space="0" w:color="auto"/>
        <w:left w:val="none" w:sz="0" w:space="0" w:color="auto"/>
        <w:bottom w:val="none" w:sz="0" w:space="0" w:color="auto"/>
        <w:right w:val="none" w:sz="0" w:space="0" w:color="auto"/>
      </w:divBdr>
    </w:div>
    <w:div w:id="288706240">
      <w:bodyDiv w:val="1"/>
      <w:marLeft w:val="0"/>
      <w:marRight w:val="0"/>
      <w:marTop w:val="0"/>
      <w:marBottom w:val="0"/>
      <w:divBdr>
        <w:top w:val="none" w:sz="0" w:space="0" w:color="auto"/>
        <w:left w:val="none" w:sz="0" w:space="0" w:color="auto"/>
        <w:bottom w:val="none" w:sz="0" w:space="0" w:color="auto"/>
        <w:right w:val="none" w:sz="0" w:space="0" w:color="auto"/>
      </w:divBdr>
    </w:div>
    <w:div w:id="738137144">
      <w:bodyDiv w:val="1"/>
      <w:marLeft w:val="0"/>
      <w:marRight w:val="0"/>
      <w:marTop w:val="0"/>
      <w:marBottom w:val="0"/>
      <w:divBdr>
        <w:top w:val="none" w:sz="0" w:space="0" w:color="auto"/>
        <w:left w:val="none" w:sz="0" w:space="0" w:color="auto"/>
        <w:bottom w:val="none" w:sz="0" w:space="0" w:color="auto"/>
        <w:right w:val="none" w:sz="0" w:space="0" w:color="auto"/>
      </w:divBdr>
    </w:div>
    <w:div w:id="793210822">
      <w:bodyDiv w:val="1"/>
      <w:marLeft w:val="0"/>
      <w:marRight w:val="0"/>
      <w:marTop w:val="0"/>
      <w:marBottom w:val="0"/>
      <w:divBdr>
        <w:top w:val="none" w:sz="0" w:space="0" w:color="auto"/>
        <w:left w:val="none" w:sz="0" w:space="0" w:color="auto"/>
        <w:bottom w:val="none" w:sz="0" w:space="0" w:color="auto"/>
        <w:right w:val="none" w:sz="0" w:space="0" w:color="auto"/>
      </w:divBdr>
    </w:div>
    <w:div w:id="1208294064">
      <w:bodyDiv w:val="1"/>
      <w:marLeft w:val="0"/>
      <w:marRight w:val="0"/>
      <w:marTop w:val="0"/>
      <w:marBottom w:val="0"/>
      <w:divBdr>
        <w:top w:val="none" w:sz="0" w:space="0" w:color="auto"/>
        <w:left w:val="none" w:sz="0" w:space="0" w:color="auto"/>
        <w:bottom w:val="none" w:sz="0" w:space="0" w:color="auto"/>
        <w:right w:val="none" w:sz="0" w:space="0" w:color="auto"/>
      </w:divBdr>
    </w:div>
    <w:div w:id="1269703440">
      <w:bodyDiv w:val="1"/>
      <w:marLeft w:val="0"/>
      <w:marRight w:val="0"/>
      <w:marTop w:val="0"/>
      <w:marBottom w:val="0"/>
      <w:divBdr>
        <w:top w:val="none" w:sz="0" w:space="0" w:color="auto"/>
        <w:left w:val="none" w:sz="0" w:space="0" w:color="auto"/>
        <w:bottom w:val="none" w:sz="0" w:space="0" w:color="auto"/>
        <w:right w:val="none" w:sz="0" w:space="0" w:color="auto"/>
      </w:divBdr>
    </w:div>
    <w:div w:id="143413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0B0E2-2242-4C7B-9A67-1EAE1D109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1210</Words>
  <Characters>6658</Characters>
  <Application>Microsoft Office Word</Application>
  <DocSecurity>0</DocSecurity>
  <Lines>55</Lines>
  <Paragraphs>15</Paragraphs>
  <ScaleCrop>false</ScaleCrop>
  <HeadingPairs>
    <vt:vector size="4" baseType="variant">
      <vt:variant>
        <vt:lpstr>Titre</vt:lpstr>
      </vt:variant>
      <vt:variant>
        <vt:i4>1</vt:i4>
      </vt:variant>
      <vt:variant>
        <vt:lpstr>Название</vt:lpstr>
      </vt:variant>
      <vt:variant>
        <vt:i4>1</vt:i4>
      </vt:variant>
    </vt:vector>
  </HeadingPairs>
  <TitlesOfParts>
    <vt:vector size="2" baseType="lpstr">
      <vt:lpstr/>
      <vt:lpstr/>
    </vt:vector>
  </TitlesOfParts>
  <Company>DG Trésor</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USCIATI Benoît</dc:creator>
  <cp:keywords/>
  <dc:description/>
  <cp:lastModifiedBy>fred hugot</cp:lastModifiedBy>
  <cp:revision>2</cp:revision>
  <dcterms:created xsi:type="dcterms:W3CDTF">2020-06-08T08:42:00Z</dcterms:created>
  <dcterms:modified xsi:type="dcterms:W3CDTF">2020-06-08T08:42:00Z</dcterms:modified>
</cp:coreProperties>
</file>