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
        <w:gridCol w:w="3248"/>
        <w:gridCol w:w="5811"/>
      </w:tblGrid>
      <w:tr w:rsidR="003808FB" w:rsidRPr="0088772B" w:rsidTr="000C3385">
        <w:trPr>
          <w:gridBefore w:val="1"/>
          <w:wBefore w:w="13" w:type="dxa"/>
          <w:trHeight w:val="508"/>
        </w:trPr>
        <w:tc>
          <w:tcPr>
            <w:tcW w:w="3248" w:type="dxa"/>
          </w:tcPr>
          <w:p w:rsidR="003808FB" w:rsidRPr="0088772B" w:rsidRDefault="003808FB" w:rsidP="000C3385">
            <w:pPr>
              <w:tabs>
                <w:tab w:val="left" w:pos="3969"/>
              </w:tabs>
              <w:jc w:val="center"/>
              <w:rPr>
                <w:rFonts w:ascii="Segoe UI" w:hAnsi="Segoe UI" w:cs="Segoe UI"/>
              </w:rPr>
            </w:pPr>
            <w:bookmarkStart w:id="0" w:name="_GoBack"/>
            <w:bookmarkEnd w:id="0"/>
            <w:r w:rsidRPr="0088772B">
              <w:rPr>
                <w:rFonts w:ascii="Segoe UI" w:hAnsi="Segoe UI" w:cs="Segoe UI"/>
                <w:b/>
                <w:color w:val="000000" w:themeColor="text1"/>
                <w:lang w:eastAsia="ja-JP"/>
              </w:rPr>
              <w:t>Ambassade de France en Chine</w:t>
            </w:r>
          </w:p>
        </w:tc>
        <w:tc>
          <w:tcPr>
            <w:tcW w:w="5811" w:type="dxa"/>
          </w:tcPr>
          <w:p w:rsidR="003808FB" w:rsidRPr="0088772B" w:rsidRDefault="00BB2BCF" w:rsidP="000C3385">
            <w:pPr>
              <w:tabs>
                <w:tab w:val="left" w:pos="3969"/>
              </w:tabs>
              <w:ind w:left="1416"/>
              <w:jc w:val="center"/>
              <w:rPr>
                <w:rFonts w:ascii="Segoe UI" w:hAnsi="Segoe UI" w:cs="Segoe UI"/>
                <w:b/>
                <w:color w:val="000000" w:themeColor="text1"/>
                <w:lang w:eastAsia="ja-JP"/>
              </w:rPr>
            </w:pPr>
            <w:r w:rsidRPr="0088772B">
              <w:rPr>
                <w:rFonts w:ascii="Segoe UI" w:hAnsi="Segoe UI" w:cs="Segoe UI"/>
                <w:b/>
                <w:color w:val="000000" w:themeColor="text1"/>
                <w:lang w:eastAsia="ja-JP"/>
              </w:rPr>
              <w:t xml:space="preserve">Service économique </w:t>
            </w:r>
            <w:r w:rsidR="00452B7C" w:rsidRPr="0088772B">
              <w:rPr>
                <w:rFonts w:ascii="Segoe UI" w:hAnsi="Segoe UI" w:cs="Segoe UI"/>
                <w:b/>
                <w:color w:val="000000" w:themeColor="text1"/>
                <w:lang w:eastAsia="ja-JP"/>
              </w:rPr>
              <w:t xml:space="preserve">régional </w:t>
            </w:r>
            <w:r w:rsidRPr="0088772B">
              <w:rPr>
                <w:rFonts w:ascii="Segoe UI" w:hAnsi="Segoe UI" w:cs="Segoe UI"/>
                <w:b/>
                <w:color w:val="000000" w:themeColor="text1"/>
                <w:lang w:eastAsia="ja-JP"/>
              </w:rPr>
              <w:t>de Pékin</w:t>
            </w:r>
          </w:p>
          <w:p w:rsidR="00BB2BCF" w:rsidRPr="0088772B" w:rsidRDefault="009B32F0" w:rsidP="000C3385">
            <w:pPr>
              <w:tabs>
                <w:tab w:val="left" w:pos="3969"/>
              </w:tabs>
              <w:ind w:left="1416"/>
              <w:jc w:val="center"/>
              <w:rPr>
                <w:rFonts w:ascii="Segoe UI" w:hAnsi="Segoe UI" w:cs="Segoe UI"/>
                <w:color w:val="000000" w:themeColor="text1"/>
                <w:lang w:eastAsia="ja-JP"/>
              </w:rPr>
            </w:pPr>
            <w:r w:rsidRPr="0088772B">
              <w:rPr>
                <w:rFonts w:ascii="Segoe UI" w:hAnsi="Segoe UI" w:cs="Segoe UI"/>
                <w:color w:val="000000" w:themeColor="text1"/>
                <w:lang w:eastAsia="ja-JP"/>
              </w:rPr>
              <w:t>Antenne</w:t>
            </w:r>
            <w:r w:rsidR="000E138D" w:rsidRPr="0088772B">
              <w:rPr>
                <w:rFonts w:ascii="Segoe UI" w:hAnsi="Segoe UI" w:cs="Segoe UI"/>
                <w:color w:val="000000" w:themeColor="text1"/>
                <w:lang w:eastAsia="ja-JP"/>
              </w:rPr>
              <w:t>s</w:t>
            </w:r>
            <w:r w:rsidRPr="0088772B">
              <w:rPr>
                <w:rFonts w:ascii="Segoe UI" w:hAnsi="Segoe UI" w:cs="Segoe UI"/>
                <w:color w:val="000000" w:themeColor="text1"/>
                <w:lang w:eastAsia="ja-JP"/>
              </w:rPr>
              <w:t xml:space="preserve"> de Shanghai</w:t>
            </w:r>
            <w:r w:rsidR="000E138D" w:rsidRPr="0088772B">
              <w:rPr>
                <w:rFonts w:ascii="Segoe UI" w:hAnsi="Segoe UI" w:cs="Segoe UI"/>
                <w:color w:val="000000" w:themeColor="text1"/>
                <w:lang w:eastAsia="ja-JP"/>
              </w:rPr>
              <w:t>, Wuhan</w:t>
            </w:r>
          </w:p>
        </w:tc>
      </w:tr>
      <w:tr w:rsidR="007B0CDA" w:rsidRPr="0088772B" w:rsidTr="006F4E3A">
        <w:tc>
          <w:tcPr>
            <w:tcW w:w="9072" w:type="dxa"/>
            <w:gridSpan w:val="3"/>
            <w:tcBorders>
              <w:top w:val="nil"/>
              <w:left w:val="nil"/>
              <w:bottom w:val="nil"/>
              <w:right w:val="nil"/>
            </w:tcBorders>
          </w:tcPr>
          <w:p w:rsidR="007B0CDA" w:rsidRPr="0088772B" w:rsidRDefault="007B0CDA" w:rsidP="007B0CDA">
            <w:pPr>
              <w:tabs>
                <w:tab w:val="left" w:pos="3969"/>
              </w:tabs>
              <w:rPr>
                <w:rFonts w:ascii="Segoe UI" w:eastAsia="SimSun" w:hAnsi="Segoe UI" w:cs="Segoe UI"/>
                <w:color w:val="000000" w:themeColor="text1"/>
                <w:lang w:eastAsia="ja-JP"/>
              </w:rPr>
            </w:pPr>
          </w:p>
        </w:tc>
      </w:tr>
      <w:tr w:rsidR="003808FB" w:rsidRPr="0088772B" w:rsidTr="006F4E3A">
        <w:tc>
          <w:tcPr>
            <w:tcW w:w="9072" w:type="dxa"/>
            <w:gridSpan w:val="3"/>
            <w:tcBorders>
              <w:top w:val="nil"/>
              <w:left w:val="nil"/>
              <w:bottom w:val="nil"/>
              <w:right w:val="nil"/>
            </w:tcBorders>
          </w:tcPr>
          <w:p w:rsidR="003808FB" w:rsidRPr="0088772B" w:rsidRDefault="00D92A2A" w:rsidP="000C3385">
            <w:pPr>
              <w:tabs>
                <w:tab w:val="left" w:pos="3969"/>
              </w:tabs>
              <w:jc w:val="center"/>
              <w:rPr>
                <w:rFonts w:ascii="Segoe UI" w:eastAsia="SimSun" w:hAnsi="Segoe UI" w:cs="Segoe UI"/>
                <w:color w:val="000000" w:themeColor="text1"/>
                <w:lang w:eastAsia="ja-JP"/>
              </w:rPr>
            </w:pPr>
            <w:r>
              <w:rPr>
                <w:rFonts w:ascii="Segoe UI" w:eastAsia="Calibri" w:hAnsi="Segoe UI" w:cs="Segoe UI"/>
                <w:color w:val="006CE5"/>
                <w:sz w:val="32"/>
                <w:lang w:eastAsia="fr-FR"/>
              </w:rPr>
              <w:t xml:space="preserve">Suivi </w:t>
            </w:r>
            <w:r w:rsidR="007A6984" w:rsidRPr="0088772B">
              <w:rPr>
                <w:rFonts w:ascii="Segoe UI" w:eastAsia="Calibri" w:hAnsi="Segoe UI" w:cs="Segoe UI"/>
                <w:color w:val="006CE5"/>
                <w:sz w:val="32"/>
                <w:lang w:eastAsia="fr-FR"/>
              </w:rPr>
              <w:t>hebdomadaire</w:t>
            </w:r>
            <w:r w:rsidR="003836DD" w:rsidRPr="0088772B">
              <w:rPr>
                <w:rFonts w:ascii="Segoe UI" w:eastAsia="Calibri" w:hAnsi="Segoe UI" w:cs="Segoe UI"/>
                <w:color w:val="006CE5"/>
                <w:sz w:val="32"/>
                <w:lang w:eastAsia="fr-FR"/>
              </w:rPr>
              <w:t xml:space="preserve"> </w:t>
            </w:r>
            <w:r w:rsidR="000C3385">
              <w:rPr>
                <w:rFonts w:ascii="Segoe UI" w:eastAsia="Calibri" w:hAnsi="Segoe UI" w:cs="Segoe UI"/>
                <w:color w:val="006CE5"/>
                <w:sz w:val="32"/>
                <w:lang w:eastAsia="fr-FR"/>
              </w:rPr>
              <w:t>COVID-19</w:t>
            </w:r>
            <w:r w:rsidR="003836DD" w:rsidRPr="0088772B">
              <w:rPr>
                <w:rFonts w:ascii="Segoe UI" w:eastAsia="Calibri" w:hAnsi="Segoe UI" w:cs="Segoe UI"/>
                <w:color w:val="006CE5"/>
                <w:sz w:val="32"/>
                <w:lang w:eastAsia="fr-FR"/>
              </w:rPr>
              <w:t xml:space="preserve"> : situation au </w:t>
            </w:r>
            <w:r w:rsidR="00BF68F6">
              <w:rPr>
                <w:rFonts w:ascii="Segoe UI" w:eastAsia="Calibri" w:hAnsi="Segoe UI" w:cs="Segoe UI"/>
                <w:color w:val="006CE5"/>
                <w:sz w:val="32"/>
                <w:lang w:eastAsia="fr-FR"/>
              </w:rPr>
              <w:t>16</w:t>
            </w:r>
            <w:r w:rsidR="000C3385">
              <w:rPr>
                <w:rFonts w:ascii="Segoe UI" w:eastAsia="Calibri" w:hAnsi="Segoe UI" w:cs="Segoe UI"/>
                <w:color w:val="006CE5"/>
                <w:sz w:val="32"/>
                <w:lang w:eastAsia="fr-FR"/>
              </w:rPr>
              <w:t> </w:t>
            </w:r>
            <w:r w:rsidR="00AD4885">
              <w:rPr>
                <w:rFonts w:ascii="Segoe UI" w:eastAsia="Calibri" w:hAnsi="Segoe UI" w:cs="Segoe UI"/>
                <w:color w:val="006CE5"/>
                <w:sz w:val="32"/>
                <w:lang w:eastAsia="fr-FR"/>
              </w:rPr>
              <w:t>juin</w:t>
            </w:r>
            <w:r w:rsidR="007B0CDA" w:rsidRPr="0088772B">
              <w:rPr>
                <w:rFonts w:ascii="Segoe UI" w:eastAsia="Calibri" w:hAnsi="Segoe UI" w:cs="Segoe UI"/>
                <w:color w:val="006CE5"/>
                <w:sz w:val="32"/>
                <w:lang w:eastAsia="fr-FR"/>
              </w:rPr>
              <w:t xml:space="preserve"> 2020</w:t>
            </w:r>
          </w:p>
        </w:tc>
      </w:tr>
      <w:tr w:rsidR="003808FB" w:rsidRPr="0088772B" w:rsidTr="006F4E3A">
        <w:tc>
          <w:tcPr>
            <w:tcW w:w="9072" w:type="dxa"/>
            <w:gridSpan w:val="3"/>
            <w:tcBorders>
              <w:top w:val="nil"/>
              <w:left w:val="nil"/>
              <w:bottom w:val="nil"/>
              <w:right w:val="nil"/>
            </w:tcBorders>
          </w:tcPr>
          <w:p w:rsidR="003808FB" w:rsidRPr="0088772B" w:rsidRDefault="003808FB" w:rsidP="003808FB">
            <w:pPr>
              <w:tabs>
                <w:tab w:val="left" w:pos="3969"/>
                <w:tab w:val="center" w:pos="4423"/>
                <w:tab w:val="right" w:pos="8846"/>
              </w:tabs>
              <w:rPr>
                <w:rFonts w:ascii="Segoe UI" w:eastAsia="Calibri" w:hAnsi="Segoe UI" w:cs="Segoe UI"/>
                <w:color w:val="006CE5"/>
                <w:lang w:eastAsia="fr-FR"/>
              </w:rPr>
            </w:pPr>
            <w:r w:rsidRPr="0088772B">
              <w:rPr>
                <w:rFonts w:ascii="Segoe UI" w:eastAsia="Calibri" w:hAnsi="Segoe UI" w:cs="Segoe UI"/>
                <w:noProof/>
                <w:color w:val="006CE5"/>
                <w:lang w:eastAsia="fr-FR"/>
              </w:rPr>
              <mc:AlternateContent>
                <mc:Choice Requires="wps">
                  <w:drawing>
                    <wp:anchor distT="0" distB="0" distL="114300" distR="114300" simplePos="0" relativeHeight="251657216" behindDoc="0" locked="0" layoutInCell="1" allowOverlap="1" wp14:anchorId="6C37F087" wp14:editId="39135345">
                      <wp:simplePos x="0" y="0"/>
                      <wp:positionH relativeFrom="column">
                        <wp:posOffset>4300855</wp:posOffset>
                      </wp:positionH>
                      <wp:positionV relativeFrom="paragraph">
                        <wp:posOffset>14605</wp:posOffset>
                      </wp:positionV>
                      <wp:extent cx="1352550" cy="0"/>
                      <wp:effectExtent l="0" t="0" r="19050" b="19050"/>
                      <wp:wrapNone/>
                      <wp:docPr id="2" name="Connecteur droit 2"/>
                      <wp:cNvGraphicFramePr/>
                      <a:graphic xmlns:a="http://schemas.openxmlformats.org/drawingml/2006/main">
                        <a:graphicData uri="http://schemas.microsoft.com/office/word/2010/wordprocessingShape">
                          <wps:wsp>
                            <wps:cNvCnPr/>
                            <wps:spPr>
                              <a:xfrm>
                                <a:off x="0" y="0"/>
                                <a:ext cx="1352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48D636" id="Connecteur droit 2"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338.65pt,1.15pt" to="445.1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" strokecolor="#5b9bd5 [3204]" strokeweight=".5pt">
                      <v:stroke joinstyle="miter"/>
                    </v:line>
                  </w:pict>
                </mc:Fallback>
              </mc:AlternateContent>
            </w:r>
          </w:p>
        </w:tc>
      </w:tr>
    </w:tbl>
    <w:p w:rsidR="00071BA9" w:rsidRDefault="001D74BE" w:rsidP="00021E0B">
      <w:pPr>
        <w:spacing w:after="120" w:line="240" w:lineRule="auto"/>
        <w:jc w:val="both"/>
        <w:rPr>
          <w:rFonts w:ascii="Segoe UI" w:eastAsia="Calibri" w:hAnsi="Segoe UI" w:cs="Segoe UI"/>
          <w:i/>
          <w:color w:val="006CE5"/>
          <w:lang w:eastAsia="fr-FR"/>
        </w:rPr>
      </w:pPr>
      <w:r w:rsidRPr="0088772B">
        <w:rPr>
          <w:rFonts w:ascii="Segoe UI" w:eastAsia="Calibri" w:hAnsi="Segoe UI" w:cs="Segoe UI"/>
          <w:i/>
          <w:color w:val="006CE5"/>
          <w:lang w:eastAsia="fr-FR"/>
        </w:rPr>
        <w:t>L</w:t>
      </w:r>
      <w:r w:rsidR="007B0CDA" w:rsidRPr="0088772B">
        <w:rPr>
          <w:rFonts w:ascii="Segoe UI" w:eastAsia="Calibri" w:hAnsi="Segoe UI" w:cs="Segoe UI"/>
          <w:i/>
          <w:color w:val="006CE5"/>
          <w:lang w:eastAsia="fr-FR"/>
        </w:rPr>
        <w:t xml:space="preserve">e Service économique régional </w:t>
      </w:r>
      <w:r w:rsidR="000156D2" w:rsidRPr="0088772B">
        <w:rPr>
          <w:rFonts w:ascii="Segoe UI" w:eastAsia="Calibri" w:hAnsi="Segoe UI" w:cs="Segoe UI"/>
          <w:i/>
          <w:color w:val="006CE5"/>
          <w:lang w:eastAsia="fr-FR"/>
        </w:rPr>
        <w:t xml:space="preserve">de Pékin </w:t>
      </w:r>
      <w:r w:rsidRPr="0088772B">
        <w:rPr>
          <w:rFonts w:ascii="Segoe UI" w:eastAsia="Calibri" w:hAnsi="Segoe UI" w:cs="Segoe UI"/>
          <w:i/>
          <w:color w:val="006CE5"/>
          <w:lang w:eastAsia="fr-FR"/>
        </w:rPr>
        <w:t xml:space="preserve">réalise </w:t>
      </w:r>
      <w:r w:rsidR="007A6984" w:rsidRPr="0088772B">
        <w:rPr>
          <w:rFonts w:ascii="Segoe UI" w:eastAsia="Calibri" w:hAnsi="Segoe UI" w:cs="Segoe UI"/>
          <w:i/>
          <w:color w:val="006CE5"/>
          <w:lang w:eastAsia="fr-FR"/>
        </w:rPr>
        <w:t>depuis le 24</w:t>
      </w:r>
      <w:r w:rsidR="000C3385">
        <w:rPr>
          <w:rFonts w:ascii="Segoe UI" w:eastAsia="Calibri" w:hAnsi="Segoe UI" w:cs="Segoe UI"/>
          <w:i/>
          <w:color w:val="006CE5"/>
          <w:lang w:eastAsia="fr-FR"/>
        </w:rPr>
        <w:t> </w:t>
      </w:r>
      <w:r w:rsidR="007A6984" w:rsidRPr="0088772B">
        <w:rPr>
          <w:rFonts w:ascii="Segoe UI" w:eastAsia="Calibri" w:hAnsi="Segoe UI" w:cs="Segoe UI"/>
          <w:i/>
          <w:color w:val="006CE5"/>
          <w:lang w:eastAsia="fr-FR"/>
        </w:rPr>
        <w:t xml:space="preserve">février </w:t>
      </w:r>
      <w:r w:rsidRPr="0088772B">
        <w:rPr>
          <w:rFonts w:ascii="Segoe UI" w:eastAsia="Calibri" w:hAnsi="Segoe UI" w:cs="Segoe UI"/>
          <w:i/>
          <w:color w:val="006CE5"/>
          <w:lang w:eastAsia="fr-FR"/>
        </w:rPr>
        <w:t>des</w:t>
      </w:r>
      <w:r w:rsidR="007B0CDA" w:rsidRPr="0088772B">
        <w:rPr>
          <w:rFonts w:ascii="Segoe UI" w:eastAsia="Calibri" w:hAnsi="Segoe UI" w:cs="Segoe UI"/>
          <w:i/>
          <w:color w:val="006CE5"/>
          <w:lang w:eastAsia="fr-FR"/>
        </w:rPr>
        <w:t xml:space="preserve"> point</w:t>
      </w:r>
      <w:r w:rsidRPr="0088772B">
        <w:rPr>
          <w:rFonts w:ascii="Segoe UI" w:eastAsia="Calibri" w:hAnsi="Segoe UI" w:cs="Segoe UI"/>
          <w:i/>
          <w:color w:val="006CE5"/>
          <w:lang w:eastAsia="fr-FR"/>
        </w:rPr>
        <w:t>s réguliers</w:t>
      </w:r>
      <w:r w:rsidR="007B0CDA" w:rsidRPr="0088772B">
        <w:rPr>
          <w:rFonts w:ascii="Segoe UI" w:eastAsia="Calibri" w:hAnsi="Segoe UI" w:cs="Segoe UI"/>
          <w:i/>
          <w:color w:val="006CE5"/>
          <w:lang w:eastAsia="fr-FR"/>
        </w:rPr>
        <w:t xml:space="preserve"> à destination de</w:t>
      </w:r>
      <w:r w:rsidR="000156D2" w:rsidRPr="0088772B">
        <w:rPr>
          <w:rFonts w:ascii="Segoe UI" w:eastAsia="Calibri" w:hAnsi="Segoe UI" w:cs="Segoe UI"/>
          <w:i/>
          <w:color w:val="006CE5"/>
          <w:lang w:eastAsia="fr-FR"/>
        </w:rPr>
        <w:t>s entreprises et de</w:t>
      </w:r>
      <w:r w:rsidR="007B0CDA" w:rsidRPr="0088772B">
        <w:rPr>
          <w:rFonts w:ascii="Segoe UI" w:eastAsia="Calibri" w:hAnsi="Segoe UI" w:cs="Segoe UI"/>
          <w:i/>
          <w:color w:val="006CE5"/>
          <w:lang w:eastAsia="fr-FR"/>
        </w:rPr>
        <w:t xml:space="preserve"> la communauté d’affaires française sur la crise s</w:t>
      </w:r>
      <w:r w:rsidR="000156D2" w:rsidRPr="0088772B">
        <w:rPr>
          <w:rFonts w:ascii="Segoe UI" w:eastAsia="Calibri" w:hAnsi="Segoe UI" w:cs="Segoe UI"/>
          <w:i/>
          <w:color w:val="006CE5"/>
          <w:lang w:eastAsia="fr-FR"/>
        </w:rPr>
        <w:t xml:space="preserve">anitaire liée au virus </w:t>
      </w:r>
      <w:r w:rsidR="000C3385">
        <w:rPr>
          <w:rFonts w:ascii="Segoe UI" w:eastAsia="Calibri" w:hAnsi="Segoe UI" w:cs="Segoe UI"/>
          <w:i/>
          <w:color w:val="006CE5"/>
          <w:lang w:eastAsia="fr-FR"/>
        </w:rPr>
        <w:t>COVID-19</w:t>
      </w:r>
      <w:r w:rsidR="000156D2" w:rsidRPr="0088772B">
        <w:rPr>
          <w:rFonts w:ascii="Segoe UI" w:eastAsia="Calibri" w:hAnsi="Segoe UI" w:cs="Segoe UI"/>
          <w:i/>
          <w:color w:val="006CE5"/>
          <w:lang w:eastAsia="fr-FR"/>
        </w:rPr>
        <w:t xml:space="preserve">, ainsi </w:t>
      </w:r>
      <w:r w:rsidR="000156D2" w:rsidRPr="00241118">
        <w:rPr>
          <w:rFonts w:ascii="Segoe UI" w:eastAsia="Calibri" w:hAnsi="Segoe UI" w:cs="Segoe UI"/>
          <w:i/>
          <w:color w:val="006CE5"/>
          <w:lang w:eastAsia="fr-FR"/>
        </w:rPr>
        <w:t xml:space="preserve">que </w:t>
      </w:r>
      <w:r w:rsidR="007B0CDA" w:rsidRPr="00241118">
        <w:rPr>
          <w:rFonts w:ascii="Segoe UI" w:eastAsia="Calibri" w:hAnsi="Segoe UI" w:cs="Segoe UI"/>
          <w:i/>
          <w:color w:val="006CE5"/>
          <w:lang w:eastAsia="fr-FR"/>
        </w:rPr>
        <w:t>sur l’impact de cette dernière sur l’activité économique et le secteur des transports en Chine.</w:t>
      </w:r>
      <w:r w:rsidRPr="00241118">
        <w:rPr>
          <w:rFonts w:ascii="Segoe UI" w:eastAsia="Calibri" w:hAnsi="Segoe UI" w:cs="Segoe UI"/>
          <w:i/>
          <w:color w:val="006CE5"/>
          <w:u w:val="single"/>
          <w:lang w:eastAsia="fr-FR"/>
        </w:rPr>
        <w:t xml:space="preserve"> </w:t>
      </w:r>
      <w:r w:rsidR="00DE66F1">
        <w:rPr>
          <w:rFonts w:ascii="Segoe UI" w:eastAsia="Calibri" w:hAnsi="Segoe UI" w:cs="Segoe UI"/>
          <w:b/>
          <w:i/>
          <w:color w:val="006CE5"/>
          <w:u w:val="single"/>
          <w:lang w:eastAsia="fr-FR"/>
        </w:rPr>
        <w:t xml:space="preserve">Depuis </w:t>
      </w:r>
      <w:r w:rsidR="00F81C8C" w:rsidRPr="00241118">
        <w:rPr>
          <w:rFonts w:ascii="Segoe UI" w:eastAsia="Calibri" w:hAnsi="Segoe UI" w:cs="Segoe UI"/>
          <w:b/>
          <w:i/>
          <w:color w:val="006CE5"/>
          <w:u w:val="single"/>
          <w:lang w:eastAsia="fr-FR"/>
        </w:rPr>
        <w:t>la semaine du 8</w:t>
      </w:r>
      <w:r w:rsidR="000C3385">
        <w:rPr>
          <w:rFonts w:ascii="Segoe UI" w:eastAsia="Calibri" w:hAnsi="Segoe UI" w:cs="Segoe UI"/>
          <w:b/>
          <w:i/>
          <w:color w:val="006CE5"/>
          <w:u w:val="single"/>
          <w:lang w:eastAsia="fr-FR"/>
        </w:rPr>
        <w:t> </w:t>
      </w:r>
      <w:r w:rsidR="00F81C8C" w:rsidRPr="00241118">
        <w:rPr>
          <w:rFonts w:ascii="Segoe UI" w:eastAsia="Calibri" w:hAnsi="Segoe UI" w:cs="Segoe UI"/>
          <w:b/>
          <w:i/>
          <w:color w:val="006CE5"/>
          <w:u w:val="single"/>
          <w:lang w:eastAsia="fr-FR"/>
        </w:rPr>
        <w:t>juin</w:t>
      </w:r>
      <w:r w:rsidR="00F63BB1" w:rsidRPr="00241118">
        <w:rPr>
          <w:rFonts w:ascii="Segoe UI" w:eastAsia="Calibri" w:hAnsi="Segoe UI" w:cs="Segoe UI"/>
          <w:b/>
          <w:i/>
          <w:color w:val="006CE5"/>
          <w:u w:val="single"/>
          <w:lang w:eastAsia="fr-FR"/>
        </w:rPr>
        <w:t>, c</w:t>
      </w:r>
      <w:r w:rsidR="007D113A" w:rsidRPr="00241118">
        <w:rPr>
          <w:rFonts w:ascii="Segoe UI" w:eastAsia="Calibri" w:hAnsi="Segoe UI" w:cs="Segoe UI"/>
          <w:b/>
          <w:i/>
          <w:color w:val="006CE5"/>
          <w:u w:val="single"/>
          <w:lang w:eastAsia="fr-FR"/>
        </w:rPr>
        <w:t>es points s</w:t>
      </w:r>
      <w:r w:rsidR="00F81C8C" w:rsidRPr="00241118">
        <w:rPr>
          <w:rFonts w:ascii="Segoe UI" w:eastAsia="Calibri" w:hAnsi="Segoe UI" w:cs="Segoe UI"/>
          <w:b/>
          <w:i/>
          <w:color w:val="006CE5"/>
          <w:u w:val="single"/>
          <w:lang w:eastAsia="fr-FR"/>
        </w:rPr>
        <w:t>ont publiés une</w:t>
      </w:r>
      <w:r w:rsidRPr="00241118">
        <w:rPr>
          <w:rFonts w:ascii="Segoe UI" w:eastAsia="Calibri" w:hAnsi="Segoe UI" w:cs="Segoe UI"/>
          <w:b/>
          <w:i/>
          <w:color w:val="006CE5"/>
          <w:u w:val="single"/>
          <w:lang w:eastAsia="fr-FR"/>
        </w:rPr>
        <w:t xml:space="preserve"> fois par semaine</w:t>
      </w:r>
      <w:r w:rsidR="00F81C8C" w:rsidRPr="00241118">
        <w:rPr>
          <w:rFonts w:ascii="Segoe UI" w:eastAsia="Calibri" w:hAnsi="Segoe UI" w:cs="Segoe UI"/>
          <w:b/>
          <w:i/>
          <w:color w:val="006CE5"/>
          <w:u w:val="single"/>
          <w:lang w:eastAsia="fr-FR"/>
        </w:rPr>
        <w:t>, le mercredi</w:t>
      </w:r>
      <w:r w:rsidR="00021E0B" w:rsidRPr="0088772B">
        <w:rPr>
          <w:rFonts w:ascii="Segoe UI" w:eastAsia="Calibri" w:hAnsi="Segoe UI" w:cs="Segoe UI"/>
          <w:i/>
          <w:color w:val="006CE5"/>
          <w:lang w:eastAsia="fr-FR"/>
        </w:rPr>
        <w:t>.</w:t>
      </w:r>
      <w:r w:rsidR="007D113A" w:rsidRPr="0088772B">
        <w:rPr>
          <w:rFonts w:ascii="Segoe UI" w:eastAsia="Calibri" w:hAnsi="Segoe UI" w:cs="Segoe UI"/>
          <w:i/>
          <w:color w:val="006CE5"/>
          <w:lang w:eastAsia="fr-FR"/>
        </w:rPr>
        <w:t xml:space="preserve"> </w:t>
      </w:r>
      <w:r w:rsidR="00021E0B" w:rsidRPr="0088772B">
        <w:rPr>
          <w:rFonts w:ascii="Segoe UI" w:eastAsia="Calibri" w:hAnsi="Segoe UI" w:cs="Segoe UI"/>
          <w:i/>
          <w:color w:val="006CE5"/>
          <w:lang w:eastAsia="fr-FR"/>
        </w:rPr>
        <w:t xml:space="preserve">Des analyses plus approfondies </w:t>
      </w:r>
      <w:r w:rsidR="000C3385">
        <w:rPr>
          <w:rFonts w:ascii="Segoe UI" w:eastAsia="Calibri" w:hAnsi="Segoe UI" w:cs="Segoe UI"/>
          <w:i/>
          <w:color w:val="006CE5"/>
          <w:lang w:eastAsia="fr-FR"/>
        </w:rPr>
        <w:t>–</w:t>
      </w:r>
      <w:r w:rsidR="00021E0B" w:rsidRPr="0088772B">
        <w:rPr>
          <w:rFonts w:ascii="Segoe UI" w:eastAsia="Calibri" w:hAnsi="Segoe UI" w:cs="Segoe UI"/>
          <w:i/>
          <w:color w:val="006CE5"/>
          <w:lang w:eastAsia="fr-FR"/>
        </w:rPr>
        <w:t xml:space="preserve"> et notamment sectorielles </w:t>
      </w:r>
      <w:r w:rsidR="000C3385">
        <w:rPr>
          <w:rFonts w:ascii="Segoe UI" w:eastAsia="Calibri" w:hAnsi="Segoe UI" w:cs="Segoe UI"/>
          <w:i/>
          <w:color w:val="006CE5"/>
          <w:lang w:eastAsia="fr-FR"/>
        </w:rPr>
        <w:t>–</w:t>
      </w:r>
      <w:r w:rsidR="00021E0B" w:rsidRPr="0088772B">
        <w:rPr>
          <w:rFonts w:ascii="Segoe UI" w:eastAsia="Calibri" w:hAnsi="Segoe UI" w:cs="Segoe UI"/>
          <w:i/>
          <w:color w:val="006CE5"/>
          <w:lang w:eastAsia="fr-FR"/>
        </w:rPr>
        <w:t xml:space="preserve"> sont par ailleurs disponibles dans les </w:t>
      </w:r>
      <w:hyperlink r:id="rId8" w:history="1">
        <w:r w:rsidR="00021E0B" w:rsidRPr="0088772B">
          <w:rPr>
            <w:rStyle w:val="Lienhypertexte"/>
            <w:rFonts w:ascii="Segoe UI" w:eastAsia="Calibri" w:hAnsi="Segoe UI" w:cs="Segoe UI"/>
            <w:i/>
            <w:lang w:eastAsia="fr-FR"/>
          </w:rPr>
          <w:t>brèves hebdomadaires</w:t>
        </w:r>
      </w:hyperlink>
      <w:r w:rsidR="00021E0B" w:rsidRPr="0088772B">
        <w:rPr>
          <w:rFonts w:ascii="Segoe UI" w:eastAsia="Calibri" w:hAnsi="Segoe UI" w:cs="Segoe UI"/>
          <w:i/>
          <w:color w:val="006CE5"/>
          <w:lang w:eastAsia="fr-FR"/>
        </w:rPr>
        <w:t xml:space="preserve"> du SER de Pékin</w:t>
      </w:r>
      <w:r w:rsidR="000C3385">
        <w:rPr>
          <w:rFonts w:ascii="Segoe UI" w:eastAsia="Calibri" w:hAnsi="Segoe UI" w:cs="Segoe UI"/>
          <w:i/>
          <w:color w:val="006CE5"/>
          <w:lang w:eastAsia="fr-FR"/>
        </w:rPr>
        <w:t xml:space="preserve"> publiées le vendredi.</w:t>
      </w:r>
      <w:r w:rsidR="00021E0B" w:rsidRPr="0088772B">
        <w:rPr>
          <w:rFonts w:ascii="Segoe UI" w:eastAsia="Calibri" w:hAnsi="Segoe UI" w:cs="Segoe UI"/>
          <w:i/>
          <w:color w:val="006CE5"/>
          <w:lang w:eastAsia="fr-FR"/>
        </w:rPr>
        <w:t xml:space="preserve"> Tout lecteur int</w:t>
      </w:r>
      <w:r w:rsidR="00F63BB1" w:rsidRPr="0088772B">
        <w:rPr>
          <w:rFonts w:ascii="Segoe UI" w:eastAsia="Calibri" w:hAnsi="Segoe UI" w:cs="Segoe UI"/>
          <w:i/>
          <w:color w:val="006CE5"/>
          <w:lang w:eastAsia="fr-FR"/>
        </w:rPr>
        <w:t xml:space="preserve">éressé peut s’y abonner par simple demande </w:t>
      </w:r>
      <w:hyperlink r:id="rId9" w:history="1">
        <w:r w:rsidR="000C3385">
          <w:rPr>
            <w:rStyle w:val="Lienhypertexte"/>
            <w:rFonts w:ascii="Segoe UI" w:eastAsia="Calibri" w:hAnsi="Segoe UI" w:cs="Segoe UI"/>
            <w:i/>
            <w:lang w:eastAsia="fr-FR"/>
          </w:rPr>
          <w:t>courriel</w:t>
        </w:r>
      </w:hyperlink>
      <w:r w:rsidR="000C3385">
        <w:rPr>
          <w:rFonts w:ascii="Segoe UI" w:eastAsia="Calibri" w:hAnsi="Segoe UI" w:cs="Segoe UI"/>
          <w:i/>
          <w:color w:val="006CE5"/>
          <w:lang w:eastAsia="fr-FR"/>
        </w:rPr>
        <w:t>.</w:t>
      </w:r>
    </w:p>
    <w:p w:rsidR="003F1271" w:rsidRPr="0088772B" w:rsidRDefault="003F1271" w:rsidP="00021E0B">
      <w:pPr>
        <w:spacing w:after="120" w:line="240" w:lineRule="auto"/>
        <w:jc w:val="both"/>
        <w:rPr>
          <w:rFonts w:ascii="Segoe UI" w:eastAsia="Calibri" w:hAnsi="Segoe UI" w:cs="Segoe UI"/>
          <w:i/>
          <w:color w:val="006CE5"/>
          <w:lang w:eastAsia="fr-FR"/>
        </w:rPr>
      </w:pPr>
    </w:p>
    <w:p w:rsidR="003713AD" w:rsidRPr="00661383" w:rsidRDefault="007B0CDA" w:rsidP="00661383">
      <w:pPr>
        <w:pStyle w:val="Briefinglist1"/>
        <w:numPr>
          <w:ilvl w:val="0"/>
          <w:numId w:val="0"/>
        </w:numPr>
        <w:spacing w:after="80"/>
        <w:rPr>
          <w:rFonts w:ascii="Segoe UI" w:hAnsi="Segoe UI" w:cs="Segoe UI"/>
          <w:color w:val="006CE5"/>
          <w:szCs w:val="22"/>
          <w:lang w:val="fr-FR" w:eastAsia="ja-JP"/>
        </w:rPr>
      </w:pPr>
      <w:r w:rsidRPr="0088772B">
        <w:rPr>
          <w:rFonts w:ascii="Segoe UI" w:hAnsi="Segoe UI" w:cs="Segoe UI"/>
          <w:noProof/>
          <w:szCs w:val="22"/>
          <w:lang w:val="fr-FR" w:eastAsia="fr-FR"/>
        </w:rPr>
        <mc:AlternateContent>
          <mc:Choice Requires="wps">
            <w:drawing>
              <wp:inline distT="0" distB="0" distL="0" distR="0" wp14:anchorId="356E4B05" wp14:editId="6340C732">
                <wp:extent cx="5837275" cy="306246"/>
                <wp:effectExtent l="0" t="0" r="0" b="0"/>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275" cy="306246"/>
                        </a:xfrm>
                        <a:prstGeom prst="rect">
                          <a:avLst/>
                        </a:prstGeom>
                        <a:solidFill>
                          <a:srgbClr val="006CE5"/>
                        </a:solidFill>
                        <a:ln w="9525">
                          <a:noFill/>
                          <a:miter lim="800000"/>
                          <a:headEnd/>
                          <a:tailEnd/>
                        </a:ln>
                      </wps:spPr>
                      <wps:txbx>
                        <w:txbxContent>
                          <w:p w:rsidR="00C115F4" w:rsidRPr="0012127A" w:rsidRDefault="00C115F4" w:rsidP="007B0CDA">
                            <w:pPr>
                              <w:rPr>
                                <w:rFonts w:ascii="Segoe UI Historic" w:hAnsi="Segoe UI Historic" w:cs="Segoe UI Historic"/>
                                <w:b/>
                                <w:color w:val="FFFFFF" w:themeColor="background1"/>
                                <w:sz w:val="24"/>
                                <w:szCs w:val="24"/>
                              </w:rPr>
                            </w:pPr>
                            <w:r w:rsidRPr="0012127A">
                              <w:rPr>
                                <w:rFonts w:ascii="Segoe UI" w:hAnsi="Segoe UI" w:cs="Segoe UI"/>
                                <w:b/>
                                <w:color w:val="FFFFFF" w:themeColor="background1"/>
                                <w:sz w:val="24"/>
                                <w:szCs w:val="24"/>
                              </w:rPr>
                              <w:t>Situation sanitaire</w:t>
                            </w:r>
                          </w:p>
                        </w:txbxContent>
                      </wps:txbx>
                      <wps:bodyPr rot="0" vert="horz" wrap="square" lIns="91440" tIns="45720" rIns="91440" bIns="45720" anchor="t" anchorCtr="0">
                        <a:noAutofit/>
                      </wps:bodyPr>
                    </wps:wsp>
                  </a:graphicData>
                </a:graphic>
              </wp:inline>
            </w:drawing>
          </mc:Choice>
          <mc:Fallback>
            <w:pict>
              <v:shapetype w14:anchorId="356E4B05" id="_x0000_t202" coordsize="21600,21600" o:spt="202" path="m,l,21600r21600,l21600,xe">
                <v:stroke joinstyle="miter"/>
                <v:path gradientshapeok="t" o:connecttype="rect"/>
              </v:shapetype>
              <v:shape id="Zone de texte 2" o:spid="_x0000_s1026" type="#_x0000_t202" style="width:459.65pt;height:2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" fillcolor="#006ce5" stroked="f">
                <v:textbox>
                  <w:txbxContent>
                    <w:p w:rsidR="00C115F4" w:rsidRPr="0012127A" w:rsidRDefault="00C115F4" w:rsidP="007B0CDA">
                      <w:pPr>
                        <w:rPr>
                          <w:rFonts w:ascii="Segoe UI Historic" w:hAnsi="Segoe UI Historic" w:cs="Segoe UI Historic"/>
                          <w:b/>
                          <w:color w:val="FFFFFF" w:themeColor="background1"/>
                          <w:sz w:val="24"/>
                          <w:szCs w:val="24"/>
                        </w:rPr>
                      </w:pPr>
                      <w:r w:rsidRPr="0012127A">
                        <w:rPr>
                          <w:rFonts w:ascii="Segoe UI" w:hAnsi="Segoe UI" w:cs="Segoe UI"/>
                          <w:b/>
                          <w:color w:val="FFFFFF" w:themeColor="background1"/>
                          <w:sz w:val="24"/>
                          <w:szCs w:val="24"/>
                        </w:rPr>
                        <w:t>Situation sanitaire</w:t>
                      </w:r>
                    </w:p>
                  </w:txbxContent>
                </v:textbox>
                <w10:anchorlock/>
              </v:shape>
            </w:pict>
          </mc:Fallback>
        </mc:AlternateContent>
      </w:r>
    </w:p>
    <w:p w:rsidR="007B0CDA" w:rsidRPr="0088772B" w:rsidRDefault="007B0CDA" w:rsidP="007B0CDA">
      <w:pPr>
        <w:spacing w:after="120" w:line="240" w:lineRule="auto"/>
        <w:rPr>
          <w:rFonts w:ascii="Segoe UI" w:eastAsiaTheme="minorHAnsi" w:hAnsi="Segoe UI" w:cs="Segoe UI"/>
          <w:b/>
          <w:color w:val="006CE5"/>
          <w:u w:val="single"/>
        </w:rPr>
      </w:pPr>
      <w:r w:rsidRPr="0088772B">
        <w:rPr>
          <w:rFonts w:ascii="Segoe UI" w:eastAsiaTheme="minorHAnsi" w:hAnsi="Segoe UI" w:cs="Segoe UI"/>
          <w:b/>
          <w:color w:val="006CE5"/>
          <w:u w:val="single"/>
        </w:rPr>
        <w:t>Nombre de</w:t>
      </w:r>
      <w:r w:rsidR="00C31DEF" w:rsidRPr="0088772B">
        <w:rPr>
          <w:rFonts w:ascii="Segoe UI" w:eastAsiaTheme="minorHAnsi" w:hAnsi="Segoe UI" w:cs="Segoe UI"/>
          <w:b/>
          <w:color w:val="006CE5"/>
          <w:u w:val="single"/>
        </w:rPr>
        <w:t xml:space="preserve"> </w:t>
      </w:r>
      <w:r w:rsidRPr="0088772B">
        <w:rPr>
          <w:rFonts w:ascii="Segoe UI" w:eastAsiaTheme="minorHAnsi" w:hAnsi="Segoe UI" w:cs="Segoe UI"/>
          <w:b/>
          <w:color w:val="006CE5"/>
          <w:u w:val="single"/>
        </w:rPr>
        <w:t xml:space="preserve">cas </w:t>
      </w:r>
      <w:r w:rsidR="00597EC8" w:rsidRPr="0088772B">
        <w:rPr>
          <w:rFonts w:ascii="Segoe UI" w:eastAsiaTheme="minorHAnsi" w:hAnsi="Segoe UI" w:cs="Segoe UI"/>
          <w:b/>
          <w:color w:val="006CE5"/>
          <w:u w:val="single"/>
        </w:rPr>
        <w:t xml:space="preserve">(Chine continentale) </w:t>
      </w:r>
    </w:p>
    <w:tbl>
      <w:tblPr>
        <w:tblStyle w:val="Grilledutableau"/>
        <w:tblW w:w="5082" w:type="pct"/>
        <w:tblLook w:val="04A0" w:firstRow="1" w:lastRow="0" w:firstColumn="1" w:lastColumn="0" w:noHBand="0" w:noVBand="1"/>
      </w:tblPr>
      <w:tblGrid>
        <w:gridCol w:w="1982"/>
        <w:gridCol w:w="1702"/>
        <w:gridCol w:w="1699"/>
        <w:gridCol w:w="1700"/>
        <w:gridCol w:w="2128"/>
      </w:tblGrid>
      <w:tr w:rsidR="00AD56CF" w:rsidRPr="0088772B" w:rsidTr="00AD56CF">
        <w:tc>
          <w:tcPr>
            <w:tcW w:w="1076" w:type="pct"/>
            <w:tcBorders>
              <w:top w:val="single" w:sz="4" w:space="0" w:color="auto"/>
              <w:left w:val="single" w:sz="4" w:space="0" w:color="auto"/>
              <w:bottom w:val="single" w:sz="4" w:space="0" w:color="auto"/>
              <w:right w:val="single" w:sz="4" w:space="0" w:color="auto"/>
            </w:tcBorders>
            <w:shd w:val="clear" w:color="auto" w:fill="auto"/>
            <w:hideMark/>
          </w:tcPr>
          <w:p w:rsidR="00AD56CF" w:rsidRPr="0088772B" w:rsidRDefault="00AD56CF" w:rsidP="00AD56CF">
            <w:pPr>
              <w:jc w:val="center"/>
              <w:rPr>
                <w:rFonts w:ascii="Segoe UI" w:eastAsiaTheme="minorHAnsi" w:hAnsi="Segoe UI" w:cs="Segoe UI"/>
                <w:color w:val="006CE5"/>
                <w:sz w:val="20"/>
                <w:szCs w:val="20"/>
              </w:rPr>
            </w:pPr>
          </w:p>
        </w:tc>
        <w:tc>
          <w:tcPr>
            <w:tcW w:w="924" w:type="pct"/>
            <w:tcBorders>
              <w:top w:val="single" w:sz="4" w:space="0" w:color="auto"/>
              <w:left w:val="single" w:sz="4" w:space="0" w:color="auto"/>
              <w:bottom w:val="single" w:sz="4" w:space="0" w:color="auto"/>
              <w:right w:val="single" w:sz="4" w:space="0" w:color="auto"/>
            </w:tcBorders>
          </w:tcPr>
          <w:p w:rsidR="00AD56CF" w:rsidRPr="0088772B" w:rsidRDefault="001C49E1" w:rsidP="00AD56CF">
            <w:pPr>
              <w:jc w:val="center"/>
              <w:rPr>
                <w:rFonts w:ascii="Segoe UI" w:eastAsiaTheme="minorHAnsi" w:hAnsi="Segoe UI" w:cs="Segoe UI"/>
                <w:color w:val="006CE5"/>
                <w:sz w:val="20"/>
                <w:szCs w:val="20"/>
              </w:rPr>
            </w:pPr>
            <w:r>
              <w:rPr>
                <w:rFonts w:ascii="Segoe UI" w:eastAsiaTheme="minorHAnsi" w:hAnsi="Segoe UI" w:cs="Segoe UI"/>
                <w:color w:val="006CE5"/>
                <w:sz w:val="20"/>
                <w:szCs w:val="20"/>
              </w:rPr>
              <w:t>13</w:t>
            </w:r>
            <w:r w:rsidR="004A5CE3">
              <w:rPr>
                <w:rFonts w:ascii="Segoe UI" w:eastAsiaTheme="minorHAnsi" w:hAnsi="Segoe UI" w:cs="Segoe UI"/>
                <w:color w:val="006CE5"/>
                <w:sz w:val="20"/>
                <w:szCs w:val="20"/>
              </w:rPr>
              <w:t xml:space="preserve"> juin</w:t>
            </w:r>
          </w:p>
        </w:tc>
        <w:tc>
          <w:tcPr>
            <w:tcW w:w="922" w:type="pct"/>
            <w:tcBorders>
              <w:top w:val="single" w:sz="4" w:space="0" w:color="auto"/>
              <w:left w:val="single" w:sz="4" w:space="0" w:color="auto"/>
              <w:bottom w:val="single" w:sz="4" w:space="0" w:color="auto"/>
              <w:right w:val="single" w:sz="4" w:space="0" w:color="auto"/>
            </w:tcBorders>
            <w:shd w:val="clear" w:color="auto" w:fill="auto"/>
          </w:tcPr>
          <w:p w:rsidR="00AD56CF" w:rsidRPr="0088772B" w:rsidRDefault="001C49E1" w:rsidP="00AD56CF">
            <w:pPr>
              <w:jc w:val="center"/>
              <w:rPr>
                <w:rFonts w:ascii="Segoe UI" w:eastAsiaTheme="minorHAnsi" w:hAnsi="Segoe UI" w:cs="Segoe UI"/>
                <w:color w:val="006CE5"/>
                <w:sz w:val="20"/>
                <w:szCs w:val="20"/>
              </w:rPr>
            </w:pPr>
            <w:r>
              <w:rPr>
                <w:rFonts w:ascii="Segoe UI" w:eastAsiaTheme="minorHAnsi" w:hAnsi="Segoe UI" w:cs="Segoe UI"/>
                <w:color w:val="006CE5"/>
                <w:sz w:val="20"/>
                <w:szCs w:val="20"/>
              </w:rPr>
              <w:t>14</w:t>
            </w:r>
            <w:r w:rsidR="004A5CE3">
              <w:rPr>
                <w:rFonts w:ascii="Segoe UI" w:eastAsiaTheme="minorHAnsi" w:hAnsi="Segoe UI" w:cs="Segoe UI"/>
                <w:color w:val="006CE5"/>
                <w:sz w:val="20"/>
                <w:szCs w:val="20"/>
              </w:rPr>
              <w:t xml:space="preserve"> juin</w:t>
            </w:r>
          </w:p>
        </w:tc>
        <w:tc>
          <w:tcPr>
            <w:tcW w:w="923" w:type="pct"/>
            <w:tcBorders>
              <w:top w:val="single" w:sz="4" w:space="0" w:color="auto"/>
              <w:left w:val="single" w:sz="4" w:space="0" w:color="auto"/>
              <w:bottom w:val="single" w:sz="4" w:space="0" w:color="auto"/>
              <w:right w:val="single" w:sz="4" w:space="0" w:color="auto"/>
            </w:tcBorders>
            <w:shd w:val="clear" w:color="auto" w:fill="auto"/>
          </w:tcPr>
          <w:p w:rsidR="00AD56CF" w:rsidRPr="0088772B" w:rsidRDefault="001C49E1" w:rsidP="00AD56CF">
            <w:pPr>
              <w:jc w:val="center"/>
              <w:rPr>
                <w:rFonts w:ascii="Segoe UI" w:eastAsiaTheme="minorHAnsi" w:hAnsi="Segoe UI" w:cs="Segoe UI"/>
                <w:color w:val="006CE5"/>
                <w:sz w:val="20"/>
                <w:szCs w:val="20"/>
              </w:rPr>
            </w:pPr>
            <w:r>
              <w:rPr>
                <w:rFonts w:ascii="Segoe UI" w:eastAsiaTheme="minorHAnsi" w:hAnsi="Segoe UI" w:cs="Segoe UI"/>
                <w:color w:val="006CE5"/>
                <w:sz w:val="20"/>
                <w:szCs w:val="20"/>
              </w:rPr>
              <w:t>15</w:t>
            </w:r>
            <w:r w:rsidR="004A5CE3">
              <w:rPr>
                <w:rFonts w:ascii="Segoe UI" w:eastAsiaTheme="minorHAnsi" w:hAnsi="Segoe UI" w:cs="Segoe UI"/>
                <w:color w:val="006CE5"/>
                <w:sz w:val="20"/>
                <w:szCs w:val="20"/>
              </w:rPr>
              <w:t xml:space="preserve"> juin</w:t>
            </w:r>
          </w:p>
        </w:tc>
        <w:tc>
          <w:tcPr>
            <w:tcW w:w="1155"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D56CF" w:rsidRPr="0088772B" w:rsidRDefault="00BF68F6" w:rsidP="00AD56CF">
            <w:pPr>
              <w:jc w:val="center"/>
              <w:rPr>
                <w:rFonts w:ascii="Segoe UI" w:eastAsiaTheme="minorHAnsi" w:hAnsi="Segoe UI" w:cs="Segoe UI"/>
                <w:b/>
                <w:color w:val="006CE5"/>
                <w:sz w:val="20"/>
                <w:szCs w:val="20"/>
              </w:rPr>
            </w:pPr>
            <w:r>
              <w:rPr>
                <w:rFonts w:ascii="Segoe UI" w:eastAsiaTheme="minorHAnsi" w:hAnsi="Segoe UI" w:cs="Segoe UI"/>
                <w:b/>
                <w:color w:val="006CE5"/>
                <w:sz w:val="20"/>
                <w:szCs w:val="20"/>
              </w:rPr>
              <w:t>16</w:t>
            </w:r>
            <w:r w:rsidR="004F7DC1">
              <w:rPr>
                <w:rFonts w:ascii="Segoe UI" w:eastAsiaTheme="minorHAnsi" w:hAnsi="Segoe UI" w:cs="Segoe UI"/>
                <w:b/>
                <w:color w:val="006CE5"/>
                <w:sz w:val="20"/>
                <w:szCs w:val="20"/>
              </w:rPr>
              <w:t xml:space="preserve"> juin</w:t>
            </w:r>
          </w:p>
        </w:tc>
      </w:tr>
      <w:tr w:rsidR="00AD56CF" w:rsidRPr="0088772B" w:rsidTr="00AD56CF">
        <w:tc>
          <w:tcPr>
            <w:tcW w:w="1076" w:type="pct"/>
            <w:tcBorders>
              <w:top w:val="single" w:sz="4" w:space="0" w:color="auto"/>
              <w:left w:val="single" w:sz="4" w:space="0" w:color="auto"/>
              <w:bottom w:val="single" w:sz="4" w:space="0" w:color="auto"/>
              <w:right w:val="single" w:sz="4" w:space="0" w:color="auto"/>
            </w:tcBorders>
            <w:hideMark/>
          </w:tcPr>
          <w:p w:rsidR="00AD56CF" w:rsidRPr="0088772B" w:rsidRDefault="00AD56CF" w:rsidP="00AD56CF">
            <w:pPr>
              <w:rPr>
                <w:rFonts w:ascii="Segoe UI" w:hAnsi="Segoe UI" w:cs="Segoe UI"/>
                <w:sz w:val="20"/>
                <w:szCs w:val="20"/>
              </w:rPr>
            </w:pPr>
            <w:r w:rsidRPr="0088772B">
              <w:rPr>
                <w:rFonts w:ascii="Segoe UI" w:hAnsi="Segoe UI" w:cs="Segoe UI"/>
                <w:sz w:val="20"/>
                <w:szCs w:val="20"/>
              </w:rPr>
              <w:t>Cas confirmés</w:t>
            </w:r>
          </w:p>
        </w:tc>
        <w:tc>
          <w:tcPr>
            <w:tcW w:w="924" w:type="pct"/>
            <w:tcBorders>
              <w:top w:val="single" w:sz="4" w:space="0" w:color="auto"/>
              <w:left w:val="single" w:sz="4" w:space="0" w:color="auto"/>
              <w:bottom w:val="single" w:sz="4" w:space="0" w:color="auto"/>
              <w:right w:val="single" w:sz="4" w:space="0" w:color="auto"/>
            </w:tcBorders>
          </w:tcPr>
          <w:p w:rsidR="00AD56CF" w:rsidRPr="0088772B" w:rsidRDefault="001C49E1" w:rsidP="00AD56CF">
            <w:pPr>
              <w:jc w:val="center"/>
              <w:rPr>
                <w:rFonts w:ascii="Segoe UI" w:hAnsi="Segoe UI" w:cs="Segoe UI"/>
                <w:sz w:val="20"/>
                <w:szCs w:val="20"/>
              </w:rPr>
            </w:pPr>
            <w:r>
              <w:rPr>
                <w:rFonts w:ascii="Segoe UI" w:hAnsi="Segoe UI" w:cs="Segoe UI"/>
                <w:sz w:val="20"/>
                <w:szCs w:val="20"/>
              </w:rPr>
              <w:t>83 132</w:t>
            </w:r>
          </w:p>
        </w:tc>
        <w:tc>
          <w:tcPr>
            <w:tcW w:w="922" w:type="pct"/>
            <w:tcBorders>
              <w:top w:val="single" w:sz="4" w:space="0" w:color="auto"/>
              <w:left w:val="single" w:sz="4" w:space="0" w:color="auto"/>
              <w:bottom w:val="single" w:sz="4" w:space="0" w:color="auto"/>
              <w:right w:val="single" w:sz="4" w:space="0" w:color="auto"/>
            </w:tcBorders>
            <w:shd w:val="clear" w:color="auto" w:fill="auto"/>
          </w:tcPr>
          <w:p w:rsidR="00AD56CF" w:rsidRPr="0088772B" w:rsidRDefault="00BD222D" w:rsidP="00AD56CF">
            <w:pPr>
              <w:jc w:val="center"/>
              <w:rPr>
                <w:rFonts w:ascii="Segoe UI" w:hAnsi="Segoe UI" w:cs="Segoe UI"/>
                <w:sz w:val="20"/>
                <w:szCs w:val="20"/>
              </w:rPr>
            </w:pPr>
            <w:r>
              <w:rPr>
                <w:rFonts w:ascii="Segoe UI" w:hAnsi="Segoe UI" w:cs="Segoe UI"/>
                <w:sz w:val="20"/>
                <w:szCs w:val="20"/>
              </w:rPr>
              <w:t>83 181</w:t>
            </w:r>
          </w:p>
        </w:tc>
        <w:tc>
          <w:tcPr>
            <w:tcW w:w="923" w:type="pct"/>
            <w:tcBorders>
              <w:top w:val="single" w:sz="4" w:space="0" w:color="auto"/>
              <w:left w:val="single" w:sz="4" w:space="0" w:color="auto"/>
              <w:bottom w:val="single" w:sz="4" w:space="0" w:color="auto"/>
              <w:right w:val="single" w:sz="4" w:space="0" w:color="auto"/>
            </w:tcBorders>
            <w:shd w:val="clear" w:color="auto" w:fill="auto"/>
          </w:tcPr>
          <w:p w:rsidR="00AD56CF" w:rsidRPr="0088772B" w:rsidRDefault="00BD222D" w:rsidP="00AD56CF">
            <w:pPr>
              <w:jc w:val="center"/>
              <w:rPr>
                <w:rFonts w:ascii="Segoe UI" w:hAnsi="Segoe UI" w:cs="Segoe UI"/>
                <w:sz w:val="20"/>
                <w:szCs w:val="20"/>
              </w:rPr>
            </w:pPr>
            <w:r>
              <w:rPr>
                <w:rFonts w:ascii="Segoe UI" w:hAnsi="Segoe UI" w:cs="Segoe UI"/>
                <w:sz w:val="20"/>
                <w:szCs w:val="20"/>
              </w:rPr>
              <w:t>83 221</w:t>
            </w:r>
          </w:p>
        </w:tc>
        <w:tc>
          <w:tcPr>
            <w:tcW w:w="1155"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D56CF" w:rsidRPr="0088772B" w:rsidRDefault="00BD222D" w:rsidP="00AD56CF">
            <w:pPr>
              <w:jc w:val="center"/>
              <w:rPr>
                <w:rFonts w:ascii="Segoe UI" w:hAnsi="Segoe UI" w:cs="Segoe UI"/>
                <w:b/>
                <w:sz w:val="20"/>
                <w:szCs w:val="20"/>
              </w:rPr>
            </w:pPr>
            <w:r>
              <w:rPr>
                <w:rFonts w:ascii="Segoe UI" w:hAnsi="Segoe UI" w:cs="Segoe UI"/>
                <w:b/>
                <w:sz w:val="20"/>
                <w:szCs w:val="20"/>
              </w:rPr>
              <w:t>83 265</w:t>
            </w:r>
            <w:r w:rsidR="009B32F0" w:rsidRPr="0088772B">
              <w:rPr>
                <w:rFonts w:ascii="Segoe UI" w:hAnsi="Segoe UI" w:cs="Segoe UI"/>
                <w:b/>
                <w:sz w:val="20"/>
                <w:szCs w:val="20"/>
              </w:rPr>
              <w:t xml:space="preserve"> </w:t>
            </w:r>
            <w:r>
              <w:rPr>
                <w:rFonts w:ascii="Segoe UI" w:hAnsi="Segoe UI" w:cs="Segoe UI"/>
                <w:sz w:val="20"/>
                <w:szCs w:val="20"/>
              </w:rPr>
              <w:t>(+44</w:t>
            </w:r>
            <w:r w:rsidR="009B32F0" w:rsidRPr="0088772B">
              <w:rPr>
                <w:rFonts w:ascii="Segoe UI" w:hAnsi="Segoe UI" w:cs="Segoe UI"/>
                <w:sz w:val="20"/>
                <w:szCs w:val="20"/>
              </w:rPr>
              <w:t>)</w:t>
            </w:r>
            <w:r w:rsidR="009B32F0" w:rsidRPr="0088772B">
              <w:rPr>
                <w:rFonts w:ascii="Segoe UI" w:hAnsi="Segoe UI" w:cs="Segoe UI"/>
                <w:b/>
                <w:sz w:val="20"/>
                <w:szCs w:val="20"/>
              </w:rPr>
              <w:t xml:space="preserve"> </w:t>
            </w:r>
          </w:p>
        </w:tc>
      </w:tr>
      <w:tr w:rsidR="00AD56CF" w:rsidRPr="0088772B" w:rsidTr="00AD56CF">
        <w:tc>
          <w:tcPr>
            <w:tcW w:w="1076" w:type="pct"/>
            <w:tcBorders>
              <w:top w:val="single" w:sz="4" w:space="0" w:color="auto"/>
              <w:left w:val="single" w:sz="4" w:space="0" w:color="auto"/>
              <w:bottom w:val="single" w:sz="4" w:space="0" w:color="auto"/>
              <w:right w:val="single" w:sz="4" w:space="0" w:color="auto"/>
            </w:tcBorders>
            <w:hideMark/>
          </w:tcPr>
          <w:p w:rsidR="00AD56CF" w:rsidRPr="0088772B" w:rsidRDefault="00AD56CF" w:rsidP="00AD56CF">
            <w:pPr>
              <w:rPr>
                <w:rFonts w:ascii="Segoe UI" w:hAnsi="Segoe UI" w:cs="Segoe UI"/>
                <w:sz w:val="20"/>
                <w:szCs w:val="20"/>
              </w:rPr>
            </w:pPr>
            <w:r w:rsidRPr="0088772B">
              <w:rPr>
                <w:rFonts w:ascii="Segoe UI" w:hAnsi="Segoe UI" w:cs="Segoe UI"/>
                <w:sz w:val="20"/>
                <w:szCs w:val="20"/>
              </w:rPr>
              <w:t>Cas possibles</w:t>
            </w:r>
          </w:p>
        </w:tc>
        <w:tc>
          <w:tcPr>
            <w:tcW w:w="924" w:type="pct"/>
            <w:tcBorders>
              <w:top w:val="single" w:sz="4" w:space="0" w:color="auto"/>
              <w:left w:val="single" w:sz="4" w:space="0" w:color="auto"/>
              <w:bottom w:val="single" w:sz="4" w:space="0" w:color="auto"/>
              <w:right w:val="single" w:sz="4" w:space="0" w:color="auto"/>
            </w:tcBorders>
          </w:tcPr>
          <w:p w:rsidR="00AD56CF" w:rsidRPr="0088772B" w:rsidRDefault="001C49E1" w:rsidP="00AD56CF">
            <w:pPr>
              <w:jc w:val="center"/>
              <w:rPr>
                <w:rFonts w:ascii="Segoe UI" w:hAnsi="Segoe UI" w:cs="Segoe UI"/>
                <w:sz w:val="20"/>
                <w:szCs w:val="20"/>
              </w:rPr>
            </w:pPr>
            <w:r>
              <w:rPr>
                <w:rFonts w:ascii="Segoe UI" w:hAnsi="Segoe UI" w:cs="Segoe UI"/>
                <w:sz w:val="20"/>
                <w:szCs w:val="20"/>
              </w:rPr>
              <w:t>2</w:t>
            </w:r>
          </w:p>
        </w:tc>
        <w:tc>
          <w:tcPr>
            <w:tcW w:w="922" w:type="pct"/>
            <w:tcBorders>
              <w:top w:val="single" w:sz="4" w:space="0" w:color="auto"/>
              <w:left w:val="single" w:sz="4" w:space="0" w:color="auto"/>
              <w:bottom w:val="single" w:sz="4" w:space="0" w:color="auto"/>
              <w:right w:val="single" w:sz="4" w:space="0" w:color="auto"/>
            </w:tcBorders>
            <w:shd w:val="clear" w:color="auto" w:fill="auto"/>
          </w:tcPr>
          <w:p w:rsidR="00AD56CF" w:rsidRPr="0088772B" w:rsidRDefault="00BD222D" w:rsidP="00AD56CF">
            <w:pPr>
              <w:jc w:val="center"/>
              <w:rPr>
                <w:rFonts w:ascii="Segoe UI" w:hAnsi="Segoe UI" w:cs="Segoe UI"/>
                <w:sz w:val="20"/>
                <w:szCs w:val="20"/>
              </w:rPr>
            </w:pPr>
            <w:r>
              <w:rPr>
                <w:rFonts w:ascii="Segoe UI" w:hAnsi="Segoe UI" w:cs="Segoe UI"/>
                <w:sz w:val="20"/>
                <w:szCs w:val="20"/>
              </w:rPr>
              <w:t>3</w:t>
            </w:r>
          </w:p>
        </w:tc>
        <w:tc>
          <w:tcPr>
            <w:tcW w:w="923" w:type="pct"/>
            <w:tcBorders>
              <w:top w:val="single" w:sz="4" w:space="0" w:color="auto"/>
              <w:left w:val="single" w:sz="4" w:space="0" w:color="auto"/>
              <w:bottom w:val="single" w:sz="4" w:space="0" w:color="auto"/>
              <w:right w:val="single" w:sz="4" w:space="0" w:color="auto"/>
            </w:tcBorders>
            <w:shd w:val="clear" w:color="auto" w:fill="auto"/>
          </w:tcPr>
          <w:p w:rsidR="00AD56CF" w:rsidRPr="0088772B" w:rsidRDefault="00BD222D" w:rsidP="00AD56CF">
            <w:pPr>
              <w:jc w:val="center"/>
              <w:rPr>
                <w:rFonts w:ascii="Segoe UI" w:hAnsi="Segoe UI" w:cs="Segoe UI"/>
                <w:sz w:val="20"/>
                <w:szCs w:val="20"/>
              </w:rPr>
            </w:pPr>
            <w:r>
              <w:rPr>
                <w:rFonts w:ascii="Segoe UI" w:hAnsi="Segoe UI" w:cs="Segoe UI"/>
                <w:sz w:val="20"/>
                <w:szCs w:val="20"/>
              </w:rPr>
              <w:t>4</w:t>
            </w:r>
          </w:p>
        </w:tc>
        <w:tc>
          <w:tcPr>
            <w:tcW w:w="1155"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D56CF" w:rsidRPr="0088772B" w:rsidRDefault="00BD222D" w:rsidP="00AD56CF">
            <w:pPr>
              <w:jc w:val="center"/>
              <w:rPr>
                <w:rFonts w:ascii="Segoe UI" w:hAnsi="Segoe UI" w:cs="Segoe UI"/>
                <w:b/>
                <w:sz w:val="20"/>
                <w:szCs w:val="20"/>
              </w:rPr>
            </w:pPr>
            <w:r>
              <w:rPr>
                <w:rFonts w:ascii="Segoe UI" w:hAnsi="Segoe UI" w:cs="Segoe UI"/>
                <w:b/>
                <w:sz w:val="20"/>
                <w:szCs w:val="20"/>
              </w:rPr>
              <w:t>7</w:t>
            </w:r>
          </w:p>
        </w:tc>
      </w:tr>
      <w:tr w:rsidR="00AD56CF" w:rsidRPr="0088772B" w:rsidTr="00AD56CF">
        <w:tc>
          <w:tcPr>
            <w:tcW w:w="1076" w:type="pct"/>
            <w:tcBorders>
              <w:top w:val="single" w:sz="4" w:space="0" w:color="auto"/>
              <w:left w:val="single" w:sz="4" w:space="0" w:color="auto"/>
              <w:bottom w:val="single" w:sz="4" w:space="0" w:color="auto"/>
              <w:right w:val="single" w:sz="4" w:space="0" w:color="auto"/>
            </w:tcBorders>
            <w:hideMark/>
          </w:tcPr>
          <w:p w:rsidR="00AD56CF" w:rsidRPr="0088772B" w:rsidRDefault="00AD56CF" w:rsidP="00AD56CF">
            <w:pPr>
              <w:rPr>
                <w:rFonts w:ascii="Segoe UI" w:hAnsi="Segoe UI" w:cs="Segoe UI"/>
                <w:sz w:val="20"/>
                <w:szCs w:val="20"/>
              </w:rPr>
            </w:pPr>
            <w:r w:rsidRPr="0088772B">
              <w:rPr>
                <w:rFonts w:ascii="Segoe UI" w:hAnsi="Segoe UI" w:cs="Segoe UI"/>
                <w:sz w:val="20"/>
                <w:szCs w:val="20"/>
              </w:rPr>
              <w:t>Décès (dont Hubei)</w:t>
            </w:r>
          </w:p>
        </w:tc>
        <w:tc>
          <w:tcPr>
            <w:tcW w:w="924" w:type="pct"/>
            <w:tcBorders>
              <w:top w:val="single" w:sz="4" w:space="0" w:color="auto"/>
              <w:left w:val="single" w:sz="4" w:space="0" w:color="auto"/>
              <w:bottom w:val="single" w:sz="4" w:space="0" w:color="auto"/>
              <w:right w:val="single" w:sz="4" w:space="0" w:color="auto"/>
            </w:tcBorders>
          </w:tcPr>
          <w:p w:rsidR="00AD56CF" w:rsidRPr="0088772B" w:rsidRDefault="00AD56CF" w:rsidP="00AD56CF">
            <w:pPr>
              <w:jc w:val="center"/>
              <w:rPr>
                <w:rFonts w:ascii="Segoe UI" w:hAnsi="Segoe UI" w:cs="Segoe UI"/>
                <w:sz w:val="20"/>
                <w:szCs w:val="20"/>
              </w:rPr>
            </w:pPr>
            <w:r w:rsidRPr="0088772B">
              <w:rPr>
                <w:rFonts w:ascii="Segoe UI" w:hAnsi="Segoe UI" w:cs="Segoe UI"/>
                <w:sz w:val="20"/>
                <w:szCs w:val="20"/>
              </w:rPr>
              <w:t xml:space="preserve">4 634 </w:t>
            </w:r>
            <w:r w:rsidR="00D11ACD" w:rsidRPr="0088772B">
              <w:rPr>
                <w:rFonts w:ascii="Segoe UI" w:hAnsi="Segoe UI" w:cs="Segoe UI"/>
                <w:sz w:val="20"/>
                <w:szCs w:val="20"/>
              </w:rPr>
              <w:t>(4512)</w:t>
            </w:r>
          </w:p>
        </w:tc>
        <w:tc>
          <w:tcPr>
            <w:tcW w:w="922" w:type="pct"/>
            <w:tcBorders>
              <w:top w:val="single" w:sz="4" w:space="0" w:color="auto"/>
              <w:left w:val="single" w:sz="4" w:space="0" w:color="auto"/>
              <w:bottom w:val="single" w:sz="4" w:space="0" w:color="auto"/>
              <w:right w:val="single" w:sz="4" w:space="0" w:color="auto"/>
            </w:tcBorders>
            <w:shd w:val="clear" w:color="auto" w:fill="auto"/>
          </w:tcPr>
          <w:p w:rsidR="00AD56CF" w:rsidRPr="0088772B" w:rsidRDefault="00AD56CF" w:rsidP="00AD56CF">
            <w:pPr>
              <w:jc w:val="center"/>
              <w:rPr>
                <w:rFonts w:ascii="Segoe UI" w:hAnsi="Segoe UI" w:cs="Segoe UI"/>
                <w:sz w:val="20"/>
                <w:szCs w:val="20"/>
              </w:rPr>
            </w:pPr>
            <w:r w:rsidRPr="0088772B">
              <w:rPr>
                <w:rFonts w:ascii="Segoe UI" w:hAnsi="Segoe UI" w:cs="Segoe UI"/>
                <w:sz w:val="20"/>
                <w:szCs w:val="20"/>
              </w:rPr>
              <w:t>4</w:t>
            </w:r>
            <w:r w:rsidR="00D11ACD" w:rsidRPr="0088772B">
              <w:rPr>
                <w:rFonts w:ascii="Segoe UI" w:hAnsi="Segoe UI" w:cs="Segoe UI"/>
                <w:sz w:val="20"/>
                <w:szCs w:val="20"/>
              </w:rPr>
              <w:t> </w:t>
            </w:r>
            <w:r w:rsidRPr="0088772B">
              <w:rPr>
                <w:rFonts w:ascii="Segoe UI" w:hAnsi="Segoe UI" w:cs="Segoe UI"/>
                <w:sz w:val="20"/>
                <w:szCs w:val="20"/>
              </w:rPr>
              <w:t>634</w:t>
            </w:r>
            <w:r w:rsidR="00D11ACD" w:rsidRPr="0088772B">
              <w:rPr>
                <w:rFonts w:ascii="Segoe UI" w:hAnsi="Segoe UI" w:cs="Segoe UI"/>
                <w:sz w:val="20"/>
                <w:szCs w:val="20"/>
              </w:rPr>
              <w:t xml:space="preserve"> (4 512)</w:t>
            </w:r>
          </w:p>
        </w:tc>
        <w:tc>
          <w:tcPr>
            <w:tcW w:w="923" w:type="pct"/>
            <w:tcBorders>
              <w:top w:val="single" w:sz="4" w:space="0" w:color="auto"/>
              <w:left w:val="single" w:sz="4" w:space="0" w:color="auto"/>
              <w:bottom w:val="single" w:sz="4" w:space="0" w:color="auto"/>
              <w:right w:val="single" w:sz="4" w:space="0" w:color="auto"/>
            </w:tcBorders>
            <w:shd w:val="clear" w:color="auto" w:fill="auto"/>
          </w:tcPr>
          <w:p w:rsidR="00AD56CF" w:rsidRPr="0088772B" w:rsidRDefault="00AD56CF" w:rsidP="00AD56CF">
            <w:pPr>
              <w:jc w:val="center"/>
              <w:rPr>
                <w:rFonts w:ascii="Segoe UI" w:hAnsi="Segoe UI" w:cs="Segoe UI"/>
                <w:sz w:val="20"/>
                <w:szCs w:val="20"/>
              </w:rPr>
            </w:pPr>
            <w:r w:rsidRPr="0088772B">
              <w:rPr>
                <w:rFonts w:ascii="Segoe UI" w:hAnsi="Segoe UI" w:cs="Segoe UI"/>
                <w:sz w:val="20"/>
                <w:szCs w:val="20"/>
              </w:rPr>
              <w:t>4</w:t>
            </w:r>
            <w:r w:rsidR="00D11ACD" w:rsidRPr="0088772B">
              <w:rPr>
                <w:rFonts w:ascii="Segoe UI" w:hAnsi="Segoe UI" w:cs="Segoe UI"/>
                <w:sz w:val="20"/>
                <w:szCs w:val="20"/>
              </w:rPr>
              <w:t> </w:t>
            </w:r>
            <w:r w:rsidR="009B32F0" w:rsidRPr="0088772B">
              <w:rPr>
                <w:rFonts w:ascii="Segoe UI" w:hAnsi="Segoe UI" w:cs="Segoe UI"/>
                <w:sz w:val="20"/>
                <w:szCs w:val="20"/>
              </w:rPr>
              <w:t>634</w:t>
            </w:r>
            <w:r w:rsidR="00D11ACD" w:rsidRPr="0088772B">
              <w:rPr>
                <w:rFonts w:ascii="Segoe UI" w:hAnsi="Segoe UI" w:cs="Segoe UI"/>
                <w:sz w:val="20"/>
                <w:szCs w:val="20"/>
              </w:rPr>
              <w:t xml:space="preserve"> (4 512)</w:t>
            </w:r>
          </w:p>
        </w:tc>
        <w:tc>
          <w:tcPr>
            <w:tcW w:w="1155"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D56CF" w:rsidRPr="0088772B" w:rsidRDefault="009B32F0" w:rsidP="00AD56CF">
            <w:pPr>
              <w:jc w:val="center"/>
              <w:rPr>
                <w:rFonts w:ascii="Segoe UI" w:hAnsi="Segoe UI" w:cs="Segoe UI"/>
                <w:b/>
                <w:sz w:val="20"/>
                <w:szCs w:val="20"/>
              </w:rPr>
            </w:pPr>
            <w:r w:rsidRPr="0088772B">
              <w:rPr>
                <w:rFonts w:ascii="Segoe UI" w:hAnsi="Segoe UI" w:cs="Segoe UI"/>
                <w:b/>
                <w:sz w:val="20"/>
                <w:szCs w:val="20"/>
              </w:rPr>
              <w:t>4</w:t>
            </w:r>
            <w:r w:rsidR="00D11ACD" w:rsidRPr="0088772B">
              <w:rPr>
                <w:rFonts w:ascii="Segoe UI" w:hAnsi="Segoe UI" w:cs="Segoe UI"/>
                <w:b/>
                <w:sz w:val="20"/>
                <w:szCs w:val="20"/>
              </w:rPr>
              <w:t> </w:t>
            </w:r>
            <w:r w:rsidRPr="0088772B">
              <w:rPr>
                <w:rFonts w:ascii="Segoe UI" w:hAnsi="Segoe UI" w:cs="Segoe UI"/>
                <w:b/>
                <w:sz w:val="20"/>
                <w:szCs w:val="20"/>
              </w:rPr>
              <w:t>634</w:t>
            </w:r>
            <w:r w:rsidR="00D11ACD" w:rsidRPr="0088772B">
              <w:rPr>
                <w:rFonts w:ascii="Segoe UI" w:hAnsi="Segoe UI" w:cs="Segoe UI"/>
                <w:b/>
                <w:sz w:val="20"/>
                <w:szCs w:val="20"/>
              </w:rPr>
              <w:t xml:space="preserve"> (4 512)</w:t>
            </w:r>
            <w:r w:rsidR="006C46B9" w:rsidRPr="0088772B">
              <w:rPr>
                <w:rFonts w:ascii="Segoe UI" w:hAnsi="Segoe UI" w:cs="Segoe UI"/>
                <w:b/>
                <w:sz w:val="20"/>
                <w:szCs w:val="20"/>
              </w:rPr>
              <w:t xml:space="preserve"> </w:t>
            </w:r>
            <w:r w:rsidR="006C46B9" w:rsidRPr="0088772B">
              <w:rPr>
                <w:rFonts w:ascii="Segoe UI" w:hAnsi="Segoe UI" w:cs="Segoe UI"/>
                <w:sz w:val="20"/>
                <w:szCs w:val="20"/>
              </w:rPr>
              <w:t>(+0)</w:t>
            </w:r>
          </w:p>
        </w:tc>
      </w:tr>
      <w:tr w:rsidR="00AD56CF" w:rsidRPr="0088772B" w:rsidTr="00AD56CF">
        <w:tc>
          <w:tcPr>
            <w:tcW w:w="1076" w:type="pct"/>
            <w:tcBorders>
              <w:top w:val="single" w:sz="4" w:space="0" w:color="auto"/>
              <w:left w:val="single" w:sz="4" w:space="0" w:color="auto"/>
              <w:bottom w:val="single" w:sz="4" w:space="0" w:color="auto"/>
              <w:right w:val="single" w:sz="4" w:space="0" w:color="auto"/>
            </w:tcBorders>
            <w:hideMark/>
          </w:tcPr>
          <w:p w:rsidR="00AD56CF" w:rsidRPr="0088772B" w:rsidRDefault="00AD56CF" w:rsidP="00AD56CF">
            <w:pPr>
              <w:rPr>
                <w:rFonts w:ascii="Segoe UI" w:hAnsi="Segoe UI" w:cs="Segoe UI"/>
                <w:sz w:val="20"/>
                <w:szCs w:val="20"/>
              </w:rPr>
            </w:pPr>
            <w:r w:rsidRPr="0088772B">
              <w:rPr>
                <w:rFonts w:ascii="Segoe UI" w:hAnsi="Segoe UI" w:cs="Segoe UI"/>
                <w:sz w:val="20"/>
                <w:szCs w:val="20"/>
              </w:rPr>
              <w:t>Guérisons</w:t>
            </w:r>
          </w:p>
        </w:tc>
        <w:tc>
          <w:tcPr>
            <w:tcW w:w="924" w:type="pct"/>
            <w:tcBorders>
              <w:top w:val="single" w:sz="4" w:space="0" w:color="auto"/>
              <w:left w:val="single" w:sz="4" w:space="0" w:color="auto"/>
              <w:bottom w:val="single" w:sz="4" w:space="0" w:color="auto"/>
              <w:right w:val="single" w:sz="4" w:space="0" w:color="auto"/>
            </w:tcBorders>
          </w:tcPr>
          <w:p w:rsidR="00AD56CF" w:rsidRPr="0088772B" w:rsidRDefault="00BD222D" w:rsidP="00AD56CF">
            <w:pPr>
              <w:tabs>
                <w:tab w:val="center" w:pos="971"/>
                <w:tab w:val="right" w:pos="1943"/>
              </w:tabs>
              <w:jc w:val="center"/>
              <w:rPr>
                <w:rFonts w:ascii="Segoe UI" w:hAnsi="Segoe UI" w:cs="Segoe UI"/>
                <w:sz w:val="20"/>
                <w:szCs w:val="20"/>
              </w:rPr>
            </w:pPr>
            <w:r>
              <w:rPr>
                <w:rFonts w:ascii="Segoe UI" w:hAnsi="Segoe UI" w:cs="Segoe UI"/>
                <w:sz w:val="20"/>
                <w:szCs w:val="20"/>
              </w:rPr>
              <w:t>78 369</w:t>
            </w:r>
          </w:p>
        </w:tc>
        <w:tc>
          <w:tcPr>
            <w:tcW w:w="922" w:type="pct"/>
            <w:tcBorders>
              <w:top w:val="single" w:sz="4" w:space="0" w:color="auto"/>
              <w:left w:val="single" w:sz="4" w:space="0" w:color="auto"/>
              <w:bottom w:val="single" w:sz="4" w:space="0" w:color="auto"/>
              <w:right w:val="single" w:sz="4" w:space="0" w:color="auto"/>
            </w:tcBorders>
            <w:shd w:val="clear" w:color="auto" w:fill="auto"/>
          </w:tcPr>
          <w:p w:rsidR="00AD56CF" w:rsidRPr="0088772B" w:rsidRDefault="00BD222D" w:rsidP="00AD56CF">
            <w:pPr>
              <w:tabs>
                <w:tab w:val="center" w:pos="971"/>
                <w:tab w:val="right" w:pos="1943"/>
              </w:tabs>
              <w:jc w:val="center"/>
              <w:rPr>
                <w:rFonts w:ascii="Segoe UI" w:hAnsi="Segoe UI" w:cs="Segoe UI"/>
                <w:sz w:val="20"/>
                <w:szCs w:val="20"/>
              </w:rPr>
            </w:pPr>
            <w:r>
              <w:rPr>
                <w:rFonts w:ascii="Segoe UI" w:hAnsi="Segoe UI" w:cs="Segoe UI"/>
                <w:sz w:val="20"/>
                <w:szCs w:val="20"/>
              </w:rPr>
              <w:t>78 370</w:t>
            </w:r>
          </w:p>
        </w:tc>
        <w:tc>
          <w:tcPr>
            <w:tcW w:w="923" w:type="pct"/>
            <w:tcBorders>
              <w:top w:val="single" w:sz="4" w:space="0" w:color="auto"/>
              <w:left w:val="single" w:sz="4" w:space="0" w:color="auto"/>
              <w:bottom w:val="single" w:sz="4" w:space="0" w:color="auto"/>
              <w:right w:val="single" w:sz="4" w:space="0" w:color="auto"/>
            </w:tcBorders>
            <w:shd w:val="clear" w:color="auto" w:fill="auto"/>
          </w:tcPr>
          <w:p w:rsidR="00AD56CF" w:rsidRPr="0088772B" w:rsidRDefault="00BD222D" w:rsidP="00AD56CF">
            <w:pPr>
              <w:tabs>
                <w:tab w:val="center" w:pos="971"/>
                <w:tab w:val="right" w:pos="1943"/>
              </w:tabs>
              <w:jc w:val="center"/>
              <w:rPr>
                <w:rFonts w:ascii="Segoe UI" w:hAnsi="Segoe UI" w:cs="Segoe UI"/>
                <w:sz w:val="20"/>
                <w:szCs w:val="20"/>
              </w:rPr>
            </w:pPr>
            <w:r>
              <w:rPr>
                <w:rFonts w:ascii="Segoe UI" w:hAnsi="Segoe UI" w:cs="Segoe UI"/>
                <w:sz w:val="20"/>
                <w:szCs w:val="20"/>
              </w:rPr>
              <w:t>78 377</w:t>
            </w:r>
          </w:p>
        </w:tc>
        <w:tc>
          <w:tcPr>
            <w:tcW w:w="1155"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D56CF" w:rsidRPr="0088772B" w:rsidRDefault="00BD222D" w:rsidP="00AD56CF">
            <w:pPr>
              <w:tabs>
                <w:tab w:val="center" w:pos="971"/>
                <w:tab w:val="right" w:pos="1943"/>
              </w:tabs>
              <w:jc w:val="center"/>
              <w:rPr>
                <w:rFonts w:ascii="Segoe UI" w:hAnsi="Segoe UI" w:cs="Segoe UI"/>
                <w:b/>
                <w:sz w:val="20"/>
                <w:szCs w:val="20"/>
              </w:rPr>
            </w:pPr>
            <w:r>
              <w:rPr>
                <w:rFonts w:ascii="Segoe UI" w:hAnsi="Segoe UI" w:cs="Segoe UI"/>
                <w:b/>
                <w:sz w:val="20"/>
                <w:szCs w:val="20"/>
              </w:rPr>
              <w:t>78 379</w:t>
            </w:r>
          </w:p>
        </w:tc>
      </w:tr>
    </w:tbl>
    <w:p w:rsidR="00661383" w:rsidRDefault="005F7824" w:rsidP="002A7EF5">
      <w:pPr>
        <w:spacing w:before="120" w:after="120" w:line="240" w:lineRule="auto"/>
        <w:jc w:val="both"/>
        <w:rPr>
          <w:rFonts w:ascii="Segoe UI" w:eastAsia="Calibri" w:hAnsi="Segoe UI" w:cs="Segoe UI"/>
          <w:lang w:eastAsia="fr-FR"/>
        </w:rPr>
      </w:pPr>
      <w:r w:rsidRPr="0088772B">
        <w:rPr>
          <w:rFonts w:ascii="Segoe UI" w:eastAsia="Calibri" w:hAnsi="Segoe UI" w:cs="Segoe UI"/>
          <w:color w:val="006CE5"/>
          <w:lang w:eastAsia="fr-FR"/>
        </w:rPr>
        <w:t xml:space="preserve">Le </w:t>
      </w:r>
      <w:r w:rsidR="0081600C">
        <w:rPr>
          <w:rFonts w:ascii="Segoe UI" w:eastAsia="Calibri" w:hAnsi="Segoe UI" w:cs="Segoe UI"/>
          <w:color w:val="006CE5"/>
          <w:lang w:eastAsia="fr-FR"/>
        </w:rPr>
        <w:t>16</w:t>
      </w:r>
      <w:r w:rsidR="007D3F4F">
        <w:rPr>
          <w:rFonts w:ascii="Segoe UI" w:eastAsia="Calibri" w:hAnsi="Segoe UI" w:cs="Segoe UI"/>
          <w:color w:val="006CE5"/>
          <w:lang w:eastAsia="fr-FR"/>
        </w:rPr>
        <w:t xml:space="preserve"> juin</w:t>
      </w:r>
      <w:r w:rsidR="002A7EF5" w:rsidRPr="0088772B">
        <w:rPr>
          <w:rFonts w:ascii="Segoe UI" w:eastAsia="Calibri" w:hAnsi="Segoe UI" w:cs="Segoe UI"/>
          <w:color w:val="006CE5"/>
          <w:lang w:eastAsia="fr-FR"/>
        </w:rPr>
        <w:t xml:space="preserve"> 2020, </w:t>
      </w:r>
      <w:r w:rsidR="003713AD" w:rsidRPr="0088772B">
        <w:rPr>
          <w:rFonts w:ascii="Segoe UI" w:eastAsia="Calibri" w:hAnsi="Segoe UI" w:cs="Segoe UI"/>
          <w:color w:val="006CE5"/>
          <w:lang w:eastAsia="fr-FR"/>
        </w:rPr>
        <w:t xml:space="preserve">selon les sources officielles, </w:t>
      </w:r>
      <w:r w:rsidR="000267BC">
        <w:rPr>
          <w:rFonts w:ascii="Segoe UI" w:eastAsia="Calibri" w:hAnsi="Segoe UI" w:cs="Segoe UI"/>
          <w:color w:val="006CE5"/>
          <w:lang w:eastAsia="fr-FR"/>
        </w:rPr>
        <w:t>44</w:t>
      </w:r>
      <w:r w:rsidR="00F81C8C">
        <w:rPr>
          <w:rFonts w:ascii="Segoe UI" w:eastAsia="Calibri" w:hAnsi="Segoe UI" w:cs="Segoe UI"/>
          <w:color w:val="006CE5"/>
          <w:lang w:eastAsia="fr-FR"/>
        </w:rPr>
        <w:t xml:space="preserve"> </w:t>
      </w:r>
      <w:r w:rsidR="00F96871">
        <w:rPr>
          <w:rFonts w:ascii="Segoe UI" w:eastAsia="Calibri" w:hAnsi="Segoe UI" w:cs="Segoe UI"/>
          <w:color w:val="006CE5"/>
          <w:lang w:eastAsia="fr-FR"/>
        </w:rPr>
        <w:t>nouveau</w:t>
      </w:r>
      <w:r w:rsidR="00F81EBF">
        <w:rPr>
          <w:rFonts w:ascii="Segoe UI" w:eastAsia="Calibri" w:hAnsi="Segoe UI" w:cs="Segoe UI"/>
          <w:color w:val="006CE5"/>
          <w:lang w:eastAsia="fr-FR"/>
        </w:rPr>
        <w:t>x</w:t>
      </w:r>
      <w:r w:rsidR="00F96871">
        <w:rPr>
          <w:rFonts w:ascii="Segoe UI" w:eastAsia="Calibri" w:hAnsi="Segoe UI" w:cs="Segoe UI"/>
          <w:color w:val="006CE5"/>
          <w:lang w:eastAsia="fr-FR"/>
        </w:rPr>
        <w:t xml:space="preserve"> cas de personne</w:t>
      </w:r>
      <w:r w:rsidR="00241118">
        <w:rPr>
          <w:rFonts w:ascii="Segoe UI" w:eastAsia="Calibri" w:hAnsi="Segoe UI" w:cs="Segoe UI"/>
          <w:color w:val="006CE5"/>
          <w:lang w:eastAsia="fr-FR"/>
        </w:rPr>
        <w:t>s</w:t>
      </w:r>
      <w:r w:rsidR="00F96871">
        <w:rPr>
          <w:rFonts w:ascii="Segoe UI" w:eastAsia="Calibri" w:hAnsi="Segoe UI" w:cs="Segoe UI"/>
          <w:color w:val="006CE5"/>
          <w:lang w:eastAsia="fr-FR"/>
        </w:rPr>
        <w:t xml:space="preserve"> atteinte</w:t>
      </w:r>
      <w:r w:rsidR="00241118">
        <w:rPr>
          <w:rFonts w:ascii="Segoe UI" w:eastAsia="Calibri" w:hAnsi="Segoe UI" w:cs="Segoe UI"/>
          <w:color w:val="006CE5"/>
          <w:lang w:eastAsia="fr-FR"/>
        </w:rPr>
        <w:t>s</w:t>
      </w:r>
      <w:r w:rsidR="00F81EBF">
        <w:rPr>
          <w:rFonts w:ascii="Segoe UI" w:eastAsia="Calibri" w:hAnsi="Segoe UI" w:cs="Segoe UI"/>
          <w:color w:val="006CE5"/>
          <w:lang w:eastAsia="fr-FR"/>
        </w:rPr>
        <w:t xml:space="preserve"> du</w:t>
      </w:r>
      <w:r w:rsidR="002A7EF5" w:rsidRPr="0088772B">
        <w:rPr>
          <w:rFonts w:ascii="Segoe UI" w:eastAsia="Calibri" w:hAnsi="Segoe UI" w:cs="Segoe UI"/>
          <w:color w:val="006CE5"/>
          <w:lang w:eastAsia="fr-FR"/>
        </w:rPr>
        <w:t xml:space="preserve"> </w:t>
      </w:r>
      <w:r w:rsidR="000C3385">
        <w:rPr>
          <w:rFonts w:ascii="Segoe UI" w:eastAsia="Calibri" w:hAnsi="Segoe UI" w:cs="Segoe UI"/>
          <w:color w:val="006CE5"/>
          <w:lang w:eastAsia="fr-FR"/>
        </w:rPr>
        <w:t xml:space="preserve">COVID-19 </w:t>
      </w:r>
      <w:r w:rsidR="00F81C8C">
        <w:rPr>
          <w:rFonts w:ascii="Segoe UI" w:eastAsia="Calibri" w:hAnsi="Segoe UI" w:cs="Segoe UI"/>
          <w:color w:val="006CE5"/>
          <w:lang w:eastAsia="fr-FR"/>
        </w:rPr>
        <w:t>ont</w:t>
      </w:r>
      <w:r w:rsidR="002A7EF5" w:rsidRPr="0088772B">
        <w:rPr>
          <w:rFonts w:ascii="Segoe UI" w:eastAsia="Calibri" w:hAnsi="Segoe UI" w:cs="Segoe UI"/>
          <w:color w:val="006CE5"/>
          <w:lang w:eastAsia="fr-FR"/>
        </w:rPr>
        <w:t xml:space="preserve"> été e</w:t>
      </w:r>
      <w:r w:rsidR="00F96871">
        <w:rPr>
          <w:rFonts w:ascii="Segoe UI" w:eastAsia="Calibri" w:hAnsi="Segoe UI" w:cs="Segoe UI"/>
          <w:color w:val="006CE5"/>
          <w:lang w:eastAsia="fr-FR"/>
        </w:rPr>
        <w:t>nregistré</w:t>
      </w:r>
      <w:r w:rsidR="00F81C8C">
        <w:rPr>
          <w:rFonts w:ascii="Segoe UI" w:eastAsia="Calibri" w:hAnsi="Segoe UI" w:cs="Segoe UI"/>
          <w:color w:val="006CE5"/>
          <w:lang w:eastAsia="fr-FR"/>
        </w:rPr>
        <w:t>s</w:t>
      </w:r>
      <w:r w:rsidR="003713AD" w:rsidRPr="0088772B">
        <w:rPr>
          <w:rFonts w:ascii="Segoe UI" w:eastAsia="Calibri" w:hAnsi="Segoe UI" w:cs="Segoe UI"/>
          <w:color w:val="006CE5"/>
          <w:lang w:eastAsia="fr-FR"/>
        </w:rPr>
        <w:t xml:space="preserve"> </w:t>
      </w:r>
      <w:r w:rsidR="003713AD" w:rsidRPr="0088772B">
        <w:rPr>
          <w:rFonts w:ascii="Segoe UI" w:eastAsia="Calibri" w:hAnsi="Segoe UI" w:cs="Segoe UI"/>
          <w:lang w:eastAsia="fr-FR"/>
        </w:rPr>
        <w:t xml:space="preserve">en Chine continentale </w:t>
      </w:r>
      <w:r w:rsidR="002A7EF5" w:rsidRPr="0088772B">
        <w:rPr>
          <w:rFonts w:ascii="Segoe UI" w:eastAsia="Calibri" w:hAnsi="Segoe UI" w:cs="Segoe UI"/>
          <w:lang w:eastAsia="fr-FR"/>
        </w:rPr>
        <w:t>et aucun décès.</w:t>
      </w:r>
    </w:p>
    <w:p w:rsidR="00D231B6" w:rsidRDefault="004509C7" w:rsidP="00F81EBF">
      <w:pPr>
        <w:spacing w:before="120" w:after="120" w:line="240" w:lineRule="auto"/>
        <w:jc w:val="both"/>
        <w:rPr>
          <w:rFonts w:ascii="Segoe UI" w:eastAsia="Calibri" w:hAnsi="Segoe UI" w:cs="Segoe UI"/>
          <w:lang w:eastAsia="fr-FR"/>
        </w:rPr>
      </w:pPr>
      <w:r>
        <w:rPr>
          <w:rFonts w:ascii="Segoe UI" w:eastAsia="Calibri" w:hAnsi="Segoe UI" w:cs="Segoe UI"/>
          <w:color w:val="006CE5"/>
          <w:lang w:eastAsia="fr-FR"/>
        </w:rPr>
        <w:t>137</w:t>
      </w:r>
      <w:r w:rsidR="000C3385">
        <w:rPr>
          <w:rFonts w:ascii="Segoe UI" w:eastAsia="Calibri" w:hAnsi="Segoe UI" w:cs="Segoe UI"/>
          <w:color w:val="006CE5"/>
          <w:lang w:eastAsia="fr-FR"/>
        </w:rPr>
        <w:t> </w:t>
      </w:r>
      <w:r>
        <w:rPr>
          <w:rFonts w:ascii="Segoe UI" w:eastAsia="Calibri" w:hAnsi="Segoe UI" w:cs="Segoe UI"/>
          <w:color w:val="006CE5"/>
          <w:lang w:eastAsia="fr-FR"/>
        </w:rPr>
        <w:t>nouveaux cas ont été enregistrés en</w:t>
      </w:r>
      <w:r w:rsidR="004B1D0A">
        <w:rPr>
          <w:rFonts w:ascii="Segoe UI" w:eastAsia="Calibri" w:hAnsi="Segoe UI" w:cs="Segoe UI"/>
          <w:color w:val="006CE5"/>
          <w:lang w:eastAsia="fr-FR"/>
        </w:rPr>
        <w:t>tre jeudi</w:t>
      </w:r>
      <w:r w:rsidR="00854491">
        <w:rPr>
          <w:rFonts w:ascii="Segoe UI" w:eastAsia="Calibri" w:hAnsi="Segoe UI" w:cs="Segoe UI"/>
          <w:color w:val="006CE5"/>
          <w:lang w:eastAsia="fr-FR"/>
        </w:rPr>
        <w:t xml:space="preserve"> et mardi</w:t>
      </w:r>
      <w:r>
        <w:rPr>
          <w:rFonts w:ascii="Segoe UI" w:eastAsia="Calibri" w:hAnsi="Segoe UI" w:cs="Segoe UI"/>
          <w:color w:val="006CE5"/>
          <w:lang w:eastAsia="fr-FR"/>
        </w:rPr>
        <w:t xml:space="preserve"> à Pékin, </w:t>
      </w:r>
      <w:r w:rsidRPr="004509C7">
        <w:rPr>
          <w:rFonts w:ascii="Segoe UI" w:eastAsia="Calibri" w:hAnsi="Segoe UI" w:cs="Segoe UI"/>
          <w:lang w:eastAsia="fr-FR"/>
        </w:rPr>
        <w:t xml:space="preserve">originaires du marché de gros de Xinfadi. </w:t>
      </w:r>
      <w:r w:rsidR="00A6383C" w:rsidRPr="004509C7">
        <w:rPr>
          <w:rFonts w:ascii="Segoe UI" w:eastAsia="Calibri" w:hAnsi="Segoe UI" w:cs="Segoe UI"/>
          <w:lang w:eastAsia="fr-FR"/>
        </w:rPr>
        <w:t>La municipalité a annoncé mar</w:t>
      </w:r>
      <w:r w:rsidR="002648F9">
        <w:rPr>
          <w:rFonts w:ascii="Segoe UI" w:eastAsia="Calibri" w:hAnsi="Segoe UI" w:cs="Segoe UI"/>
          <w:lang w:eastAsia="fr-FR"/>
        </w:rPr>
        <w:t>di un confinement partiel et un</w:t>
      </w:r>
      <w:r w:rsidR="00A6383C" w:rsidRPr="004509C7">
        <w:rPr>
          <w:rFonts w:ascii="Segoe UI" w:eastAsia="Calibri" w:hAnsi="Segoe UI" w:cs="Segoe UI"/>
          <w:lang w:eastAsia="fr-FR"/>
        </w:rPr>
        <w:t xml:space="preserve"> </w:t>
      </w:r>
      <w:r w:rsidR="004B1D0A">
        <w:rPr>
          <w:rFonts w:ascii="Segoe UI" w:eastAsia="Calibri" w:hAnsi="Segoe UI" w:cs="Segoe UI"/>
          <w:lang w:eastAsia="fr-FR"/>
        </w:rPr>
        <w:t>re</w:t>
      </w:r>
      <w:r w:rsidR="004B1D0A" w:rsidRPr="004509C7">
        <w:rPr>
          <w:rFonts w:ascii="Segoe UI" w:eastAsia="Calibri" w:hAnsi="Segoe UI" w:cs="Segoe UI"/>
          <w:lang w:eastAsia="fr-FR"/>
        </w:rPr>
        <w:t>hausse</w:t>
      </w:r>
      <w:r w:rsidR="002648F9">
        <w:rPr>
          <w:rFonts w:ascii="Segoe UI" w:eastAsia="Calibri" w:hAnsi="Segoe UI" w:cs="Segoe UI"/>
          <w:lang w:eastAsia="fr-FR"/>
        </w:rPr>
        <w:t>ment</w:t>
      </w:r>
      <w:r w:rsidR="00A6383C" w:rsidRPr="004509C7">
        <w:rPr>
          <w:rFonts w:ascii="Segoe UI" w:eastAsia="Calibri" w:hAnsi="Segoe UI" w:cs="Segoe UI"/>
          <w:lang w:eastAsia="fr-FR"/>
        </w:rPr>
        <w:t xml:space="preserve"> du niveau d’urgence au deuxième le plus élevé</w:t>
      </w:r>
      <w:r w:rsidR="004B1D0A">
        <w:rPr>
          <w:rFonts w:ascii="Segoe UI" w:eastAsia="Calibri" w:hAnsi="Segoe UI" w:cs="Segoe UI"/>
          <w:lang w:eastAsia="fr-FR"/>
        </w:rPr>
        <w:t xml:space="preserve"> (10 jours seulement après l’avoir abaissé)</w:t>
      </w:r>
      <w:r w:rsidR="00A6383C" w:rsidRPr="004509C7">
        <w:rPr>
          <w:rFonts w:ascii="Segoe UI" w:eastAsia="Calibri" w:hAnsi="Segoe UI" w:cs="Segoe UI"/>
          <w:lang w:eastAsia="fr-FR"/>
        </w:rPr>
        <w:t xml:space="preserve">. Tous </w:t>
      </w:r>
      <w:r w:rsidR="00A6383C" w:rsidRPr="000267BC">
        <w:rPr>
          <w:rFonts w:ascii="Segoe UI" w:eastAsia="Calibri" w:hAnsi="Segoe UI" w:cs="Segoe UI"/>
          <w:lang w:eastAsia="fr-FR"/>
        </w:rPr>
        <w:t xml:space="preserve">les </w:t>
      </w:r>
      <w:r w:rsidR="000267BC" w:rsidRPr="000267BC">
        <w:rPr>
          <w:rFonts w:ascii="Segoe UI" w:eastAsia="Calibri" w:hAnsi="Segoe UI" w:cs="Segoe UI"/>
          <w:lang w:eastAsia="fr-FR"/>
        </w:rPr>
        <w:t>districts</w:t>
      </w:r>
      <w:r w:rsidR="00A6383C" w:rsidRPr="000267BC">
        <w:rPr>
          <w:rFonts w:ascii="Segoe UI" w:eastAsia="Calibri" w:hAnsi="Segoe UI" w:cs="Segoe UI"/>
          <w:lang w:eastAsia="fr-FR"/>
        </w:rPr>
        <w:t xml:space="preserve"> classés</w:t>
      </w:r>
      <w:r w:rsidR="002648F9">
        <w:rPr>
          <w:rFonts w:ascii="Segoe UI" w:eastAsia="Calibri" w:hAnsi="Segoe UI" w:cs="Segoe UI"/>
          <w:lang w:eastAsia="fr-FR"/>
        </w:rPr>
        <w:t xml:space="preserve"> à risque</w:t>
      </w:r>
      <w:r w:rsidR="00071DF5">
        <w:rPr>
          <w:rFonts w:ascii="Segoe UI" w:eastAsia="Calibri" w:hAnsi="Segoe UI" w:cs="Segoe UI"/>
          <w:lang w:eastAsia="fr-FR"/>
        </w:rPr>
        <w:t xml:space="preserve"> élevé</w:t>
      </w:r>
      <w:r w:rsidR="00A6383C" w:rsidRPr="000267BC">
        <w:rPr>
          <w:rFonts w:ascii="Segoe UI" w:eastAsia="Calibri" w:hAnsi="Segoe UI" w:cs="Segoe UI"/>
          <w:lang w:eastAsia="fr-FR"/>
        </w:rPr>
        <w:t xml:space="preserve"> ou </w:t>
      </w:r>
      <w:r w:rsidR="000267BC" w:rsidRPr="000267BC">
        <w:rPr>
          <w:rFonts w:ascii="Segoe UI" w:eastAsia="Calibri" w:hAnsi="Segoe UI" w:cs="Segoe UI"/>
          <w:lang w:eastAsia="fr-FR"/>
        </w:rPr>
        <w:t>moyennement</w:t>
      </w:r>
      <w:r w:rsidR="00071DF5">
        <w:rPr>
          <w:rFonts w:ascii="Segoe UI" w:eastAsia="Calibri" w:hAnsi="Segoe UI" w:cs="Segoe UI"/>
          <w:lang w:eastAsia="fr-FR"/>
        </w:rPr>
        <w:t xml:space="preserve"> élevé</w:t>
      </w:r>
      <w:r w:rsidR="00A6383C" w:rsidRPr="000267BC">
        <w:rPr>
          <w:rFonts w:ascii="Segoe UI" w:eastAsia="Calibri" w:hAnsi="Segoe UI" w:cs="Segoe UI"/>
          <w:lang w:eastAsia="fr-FR"/>
        </w:rPr>
        <w:t xml:space="preserve"> sont fermés, les </w:t>
      </w:r>
      <w:r w:rsidR="000267BC" w:rsidRPr="000267BC">
        <w:rPr>
          <w:rFonts w:ascii="Segoe UI" w:eastAsia="Calibri" w:hAnsi="Segoe UI" w:cs="Segoe UI"/>
          <w:lang w:eastAsia="fr-FR"/>
        </w:rPr>
        <w:t>habitants</w:t>
      </w:r>
      <w:r w:rsidR="00A6383C" w:rsidRPr="000267BC">
        <w:rPr>
          <w:rFonts w:ascii="Segoe UI" w:eastAsia="Calibri" w:hAnsi="Segoe UI" w:cs="Segoe UI"/>
          <w:lang w:eastAsia="fr-FR"/>
        </w:rPr>
        <w:t xml:space="preserve"> </w:t>
      </w:r>
      <w:r w:rsidR="000267BC" w:rsidRPr="000267BC">
        <w:rPr>
          <w:rFonts w:ascii="Segoe UI" w:eastAsia="Calibri" w:hAnsi="Segoe UI" w:cs="Segoe UI"/>
          <w:lang w:eastAsia="fr-FR"/>
        </w:rPr>
        <w:t>doivent</w:t>
      </w:r>
      <w:r w:rsidR="000267BC">
        <w:rPr>
          <w:rFonts w:ascii="Segoe UI" w:eastAsia="Calibri" w:hAnsi="Segoe UI" w:cs="Segoe UI"/>
          <w:lang w:eastAsia="fr-FR"/>
        </w:rPr>
        <w:t xml:space="preserve"> rester chez eux et vont </w:t>
      </w:r>
      <w:r w:rsidR="00A6383C" w:rsidRPr="000267BC">
        <w:rPr>
          <w:rFonts w:ascii="Segoe UI" w:eastAsia="Calibri" w:hAnsi="Segoe UI" w:cs="Segoe UI"/>
          <w:lang w:eastAsia="fr-FR"/>
        </w:rPr>
        <w:t>être soumis à des tests à l’acide nuclé</w:t>
      </w:r>
      <w:r w:rsidR="000267BC" w:rsidRPr="000267BC">
        <w:rPr>
          <w:rFonts w:ascii="Segoe UI" w:eastAsia="Calibri" w:hAnsi="Segoe UI" w:cs="Segoe UI"/>
          <w:lang w:eastAsia="fr-FR"/>
        </w:rPr>
        <w:t>ique</w:t>
      </w:r>
      <w:r w:rsidR="000267BC">
        <w:rPr>
          <w:rFonts w:ascii="Segoe UI" w:eastAsia="Calibri" w:hAnsi="Segoe UI" w:cs="Segoe UI"/>
          <w:lang w:eastAsia="fr-FR"/>
        </w:rPr>
        <w:t xml:space="preserve"> ; </w:t>
      </w:r>
      <w:r w:rsidR="000267BC" w:rsidRPr="000267BC">
        <w:rPr>
          <w:rFonts w:ascii="Segoe UI" w:eastAsia="Calibri" w:hAnsi="Segoe UI" w:cs="Segoe UI"/>
          <w:lang w:eastAsia="fr-FR"/>
        </w:rPr>
        <w:t>aucun visiteur n’est accepté</w:t>
      </w:r>
      <w:r w:rsidR="000267BC">
        <w:rPr>
          <w:rFonts w:ascii="Segoe UI" w:eastAsia="Calibri" w:hAnsi="Segoe UI" w:cs="Segoe UI"/>
          <w:lang w:eastAsia="fr-FR"/>
        </w:rPr>
        <w:t xml:space="preserve"> dans ces quartiers</w:t>
      </w:r>
      <w:r w:rsidR="000267BC" w:rsidRPr="000267BC">
        <w:rPr>
          <w:rFonts w:ascii="Segoe UI" w:eastAsia="Calibri" w:hAnsi="Segoe UI" w:cs="Segoe UI"/>
          <w:lang w:eastAsia="fr-FR"/>
        </w:rPr>
        <w:t xml:space="preserve">. Les écoles et les universités ont été fermées ainsi que les lieux de divertissement. </w:t>
      </w:r>
      <w:r w:rsidR="00854491">
        <w:rPr>
          <w:rFonts w:ascii="Segoe UI" w:eastAsia="Calibri" w:hAnsi="Segoe UI" w:cs="Segoe UI"/>
          <w:lang w:eastAsia="fr-FR"/>
        </w:rPr>
        <w:t xml:space="preserve">La </w:t>
      </w:r>
      <w:r w:rsidR="00BA572D">
        <w:rPr>
          <w:rFonts w:ascii="Segoe UI" w:eastAsia="Calibri" w:hAnsi="Segoe UI" w:cs="Segoe UI"/>
          <w:lang w:eastAsia="fr-FR"/>
        </w:rPr>
        <w:t xml:space="preserve">production devrait continuer mais le télétravail est d’ores et déjà encouragé pour les entreprises qui le peuvent. </w:t>
      </w:r>
      <w:r>
        <w:rPr>
          <w:rFonts w:ascii="Segoe UI" w:eastAsia="Calibri" w:hAnsi="Segoe UI" w:cs="Segoe UI"/>
          <w:lang w:eastAsia="fr-FR"/>
        </w:rPr>
        <w:t xml:space="preserve">La quasi-totalité des vols </w:t>
      </w:r>
      <w:r w:rsidR="00854491">
        <w:rPr>
          <w:rFonts w:ascii="Segoe UI" w:eastAsia="Calibri" w:hAnsi="Segoe UI" w:cs="Segoe UI"/>
          <w:lang w:eastAsia="fr-FR"/>
        </w:rPr>
        <w:t>intérieurs depuis et à destination des aéroports de Pékin ont été annulés</w:t>
      </w:r>
      <w:r w:rsidR="00613347">
        <w:rPr>
          <w:rFonts w:ascii="Segoe UI" w:eastAsia="Calibri" w:hAnsi="Segoe UI" w:cs="Segoe UI"/>
          <w:lang w:eastAsia="fr-FR"/>
        </w:rPr>
        <w:t xml:space="preserve"> (1 255</w:t>
      </w:r>
      <w:r w:rsidR="00854491">
        <w:rPr>
          <w:rFonts w:ascii="Segoe UI" w:eastAsia="Calibri" w:hAnsi="Segoe UI" w:cs="Segoe UI"/>
          <w:lang w:eastAsia="fr-FR"/>
        </w:rPr>
        <w:t xml:space="preserve"> annulations </w:t>
      </w:r>
      <w:r w:rsidR="00613347">
        <w:rPr>
          <w:rFonts w:ascii="Segoe UI" w:eastAsia="Calibri" w:hAnsi="Segoe UI" w:cs="Segoe UI"/>
          <w:lang w:eastAsia="fr-FR"/>
        </w:rPr>
        <w:t xml:space="preserve">déjà </w:t>
      </w:r>
      <w:r w:rsidR="00854491">
        <w:rPr>
          <w:rFonts w:ascii="Segoe UI" w:eastAsia="Calibri" w:hAnsi="Segoe UI" w:cs="Segoe UI"/>
          <w:lang w:eastAsia="fr-FR"/>
        </w:rPr>
        <w:t>confirmé</w:t>
      </w:r>
      <w:r w:rsidR="002648F9">
        <w:rPr>
          <w:rFonts w:ascii="Segoe UI" w:eastAsia="Calibri" w:hAnsi="Segoe UI" w:cs="Segoe UI"/>
          <w:lang w:eastAsia="fr-FR"/>
        </w:rPr>
        <w:t>e</w:t>
      </w:r>
      <w:r w:rsidR="00854491">
        <w:rPr>
          <w:rFonts w:ascii="Segoe UI" w:eastAsia="Calibri" w:hAnsi="Segoe UI" w:cs="Segoe UI"/>
          <w:lang w:eastAsia="fr-FR"/>
        </w:rPr>
        <w:t>s mercredi matin) ; les trafics ferroviaires et routiers sont également perturbés.</w:t>
      </w:r>
      <w:r w:rsidR="00844DF6">
        <w:rPr>
          <w:rFonts w:ascii="Segoe UI" w:eastAsia="Calibri" w:hAnsi="Segoe UI" w:cs="Segoe UI"/>
          <w:lang w:eastAsia="fr-FR"/>
        </w:rPr>
        <w:t xml:space="preserve"> </w:t>
      </w:r>
      <w:r w:rsidR="00844DF6" w:rsidRPr="00844DF6">
        <w:rPr>
          <w:rFonts w:ascii="Segoe UI" w:eastAsia="Calibri" w:hAnsi="Segoe UI" w:cs="Segoe UI"/>
          <w:lang w:eastAsia="fr-FR"/>
        </w:rPr>
        <w:t>Les autorités ayant fermé six marchés de gros de la ville, les prix des produits frais ont doublé voire triplé pendant le week-end, pour l’in</w:t>
      </w:r>
      <w:r w:rsidR="00844DF6">
        <w:rPr>
          <w:rFonts w:ascii="Segoe UI" w:eastAsia="Calibri" w:hAnsi="Segoe UI" w:cs="Segoe UI"/>
          <w:lang w:eastAsia="fr-FR"/>
        </w:rPr>
        <w:t>stant sans pénurie généralisée</w:t>
      </w:r>
      <w:r w:rsidR="00854491">
        <w:rPr>
          <w:rFonts w:ascii="Segoe UI" w:eastAsia="Calibri" w:hAnsi="Segoe UI" w:cs="Segoe UI"/>
          <w:lang w:eastAsia="fr-FR"/>
        </w:rPr>
        <w:t xml:space="preserve"> </w:t>
      </w:r>
      <w:r w:rsidR="008A09BD">
        <w:rPr>
          <w:rFonts w:ascii="Segoe UI" w:eastAsia="Calibri" w:hAnsi="Segoe UI" w:cs="Segoe UI"/>
          <w:lang w:eastAsia="fr-FR"/>
        </w:rPr>
        <w:t>(</w:t>
      </w:r>
      <w:hyperlink r:id="rId10" w:history="1">
        <w:r w:rsidR="008A09BD" w:rsidRPr="00854491">
          <w:rPr>
            <w:rStyle w:val="Lienhypertexte"/>
            <w:rFonts w:ascii="Segoe UI" w:eastAsia="Calibri" w:hAnsi="Segoe UI" w:cs="Segoe UI"/>
            <w:lang w:eastAsia="fr-FR"/>
          </w:rPr>
          <w:t>SCMP</w:t>
        </w:r>
      </w:hyperlink>
      <w:r w:rsidR="008A09BD">
        <w:rPr>
          <w:rFonts w:ascii="Segoe UI" w:eastAsia="Calibri" w:hAnsi="Segoe UI" w:cs="Segoe UI"/>
          <w:lang w:eastAsia="fr-FR"/>
        </w:rPr>
        <w:t xml:space="preserve">) </w:t>
      </w:r>
      <w:r w:rsidR="00854491">
        <w:rPr>
          <w:rFonts w:ascii="Segoe UI" w:eastAsia="Calibri" w:hAnsi="Segoe UI" w:cs="Segoe UI"/>
          <w:lang w:eastAsia="fr-FR"/>
        </w:rPr>
        <w:t>(</w:t>
      </w:r>
      <w:hyperlink r:id="rId11" w:history="1">
        <w:r w:rsidR="00854491" w:rsidRPr="000C3385">
          <w:rPr>
            <w:rStyle w:val="Lienhypertexte"/>
            <w:rFonts w:ascii="Segoe UI" w:eastAsia="Calibri" w:hAnsi="Segoe UI" w:cs="Segoe UI"/>
            <w:i/>
            <w:lang w:eastAsia="fr-FR"/>
          </w:rPr>
          <w:t>China Daily</w:t>
        </w:r>
      </w:hyperlink>
      <w:r w:rsidR="000C3385">
        <w:rPr>
          <w:rFonts w:ascii="Segoe UI" w:eastAsia="Calibri" w:hAnsi="Segoe UI" w:cs="Segoe UI"/>
          <w:lang w:eastAsia="fr-FR"/>
        </w:rPr>
        <w:t>).</w:t>
      </w:r>
    </w:p>
    <w:p w:rsidR="00D231B6" w:rsidRPr="00A500EE" w:rsidRDefault="00D231B6" w:rsidP="00D231B6">
      <w:pPr>
        <w:autoSpaceDE w:val="0"/>
        <w:autoSpaceDN w:val="0"/>
        <w:spacing w:before="100" w:after="100" w:line="240" w:lineRule="auto"/>
        <w:jc w:val="both"/>
        <w:rPr>
          <w:rFonts w:ascii="Segoe UI" w:hAnsi="Segoe UI" w:cs="Segoe UI"/>
        </w:rPr>
      </w:pPr>
      <w:r>
        <w:rPr>
          <w:rFonts w:ascii="Segoe UI" w:hAnsi="Segoe UI" w:cs="Segoe UI"/>
          <w:color w:val="006CE5"/>
        </w:rPr>
        <w:t xml:space="preserve">La Chine suspend ses importations de saumon malgré le fait qu’aucun lien ne soit avéré avec la propagation du virus. </w:t>
      </w:r>
      <w:r>
        <w:rPr>
          <w:rFonts w:ascii="Segoe UI" w:hAnsi="Segoe UI" w:cs="Segoe UI"/>
        </w:rPr>
        <w:t>La presse chinoise avait indiqué la présence de traces de Covid-19 sur des planches à découper dans un marché de Pékin. Le saumon a par ailleurs depuis été interdit à la vente, aussi bien dans les supermarchés que dans les restaurants (</w:t>
      </w:r>
      <w:hyperlink r:id="rId12" w:history="1">
        <w:r w:rsidRPr="00A500EE">
          <w:rPr>
            <w:rStyle w:val="Lienhypertexte"/>
            <w:rFonts w:ascii="Segoe UI" w:hAnsi="Segoe UI" w:cs="Segoe UI"/>
          </w:rPr>
          <w:t>SCMP</w:t>
        </w:r>
      </w:hyperlink>
      <w:r>
        <w:rPr>
          <w:rFonts w:ascii="Segoe UI" w:hAnsi="Segoe UI" w:cs="Segoe UI"/>
        </w:rPr>
        <w:t>)</w:t>
      </w:r>
      <w:r w:rsidR="000C3385">
        <w:rPr>
          <w:rFonts w:ascii="Segoe UI" w:hAnsi="Segoe UI" w:cs="Segoe UI"/>
        </w:rPr>
        <w:t>.</w:t>
      </w:r>
    </w:p>
    <w:p w:rsidR="00661383" w:rsidRPr="0088772B" w:rsidRDefault="003F1271" w:rsidP="00F81EBF">
      <w:pPr>
        <w:spacing w:before="120" w:after="120" w:line="240" w:lineRule="auto"/>
        <w:jc w:val="both"/>
        <w:rPr>
          <w:rFonts w:ascii="Segoe UI" w:eastAsia="Calibri" w:hAnsi="Segoe UI" w:cs="Segoe UI"/>
          <w:lang w:eastAsia="fr-FR"/>
        </w:rPr>
      </w:pPr>
      <w:r>
        <w:rPr>
          <w:rFonts w:ascii="Segoe UI" w:eastAsia="Calibri" w:hAnsi="Segoe UI" w:cs="Segoe UI"/>
          <w:lang w:eastAsia="fr-FR"/>
        </w:rPr>
        <w:br w:type="page"/>
      </w:r>
    </w:p>
    <w:p w:rsidR="007B0CDA" w:rsidRPr="0088772B" w:rsidRDefault="007B0CDA" w:rsidP="001050DC">
      <w:pPr>
        <w:spacing w:after="120"/>
        <w:rPr>
          <w:rFonts w:ascii="Segoe UI" w:eastAsia="Times New Roman" w:hAnsi="Segoe UI" w:cs="Segoe UI"/>
          <w:color w:val="222222"/>
          <w:lang w:eastAsia="fr-FR"/>
        </w:rPr>
      </w:pPr>
      <w:r w:rsidRPr="0088772B">
        <w:rPr>
          <w:rFonts w:ascii="Segoe UI" w:hAnsi="Segoe UI" w:cs="Segoe UI"/>
          <w:noProof/>
          <w:lang w:eastAsia="fr-FR"/>
        </w:rPr>
        <w:lastRenderedPageBreak/>
        <mc:AlternateContent>
          <mc:Choice Requires="wps">
            <w:drawing>
              <wp:inline distT="0" distB="0" distL="0" distR="0" wp14:anchorId="4726B4D6" wp14:editId="32F45042">
                <wp:extent cx="5772647" cy="318977"/>
                <wp:effectExtent l="0" t="0" r="0" b="5080"/>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2647" cy="318977"/>
                        </a:xfrm>
                        <a:prstGeom prst="rect">
                          <a:avLst/>
                        </a:prstGeom>
                        <a:solidFill>
                          <a:srgbClr val="006CE5"/>
                        </a:solidFill>
                        <a:ln w="9525">
                          <a:noFill/>
                          <a:miter lim="800000"/>
                          <a:headEnd/>
                          <a:tailEnd/>
                        </a:ln>
                      </wps:spPr>
                      <wps:txbx>
                        <w:txbxContent>
                          <w:p w:rsidR="00C115F4" w:rsidRPr="0012127A" w:rsidRDefault="00C115F4" w:rsidP="007B0CDA">
                            <w:pPr>
                              <w:rPr>
                                <w:rFonts w:ascii="Segoe UI Historic" w:hAnsi="Segoe UI Historic" w:cs="Segoe UI Historic"/>
                                <w:b/>
                                <w:color w:val="FFFFFF" w:themeColor="background1"/>
                                <w:sz w:val="24"/>
                                <w:szCs w:val="24"/>
                              </w:rPr>
                            </w:pPr>
                            <w:r w:rsidRPr="0012127A">
                              <w:rPr>
                                <w:rFonts w:ascii="Segoe UI" w:hAnsi="Segoe UI" w:cs="Segoe UI"/>
                                <w:b/>
                                <w:color w:val="FFFFFF" w:themeColor="background1"/>
                                <w:sz w:val="24"/>
                                <w:szCs w:val="24"/>
                              </w:rPr>
                              <w:t xml:space="preserve">Situation économique </w:t>
                            </w:r>
                          </w:p>
                        </w:txbxContent>
                      </wps:txbx>
                      <wps:bodyPr rot="0" vert="horz" wrap="square" lIns="91440" tIns="45720" rIns="91440" bIns="45720" anchor="t" anchorCtr="0">
                        <a:noAutofit/>
                      </wps:bodyPr>
                    </wps:wsp>
                  </a:graphicData>
                </a:graphic>
              </wp:inline>
            </w:drawing>
          </mc:Choice>
          <mc:Fallback>
            <w:pict>
              <v:shape w14:anchorId="4726B4D6" id="_x0000_s1027" type="#_x0000_t202" style="width:454.55pt;height:2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" fillcolor="#006ce5" stroked="f">
                <v:textbox>
                  <w:txbxContent>
                    <w:p w:rsidR="00C115F4" w:rsidRPr="0012127A" w:rsidRDefault="00C115F4" w:rsidP="007B0CDA">
                      <w:pPr>
                        <w:rPr>
                          <w:rFonts w:ascii="Segoe UI Historic" w:hAnsi="Segoe UI Historic" w:cs="Segoe UI Historic"/>
                          <w:b/>
                          <w:color w:val="FFFFFF" w:themeColor="background1"/>
                          <w:sz w:val="24"/>
                          <w:szCs w:val="24"/>
                        </w:rPr>
                      </w:pPr>
                      <w:r w:rsidRPr="0012127A">
                        <w:rPr>
                          <w:rFonts w:ascii="Segoe UI" w:hAnsi="Segoe UI" w:cs="Segoe UI"/>
                          <w:b/>
                          <w:color w:val="FFFFFF" w:themeColor="background1"/>
                          <w:sz w:val="24"/>
                          <w:szCs w:val="24"/>
                        </w:rPr>
                        <w:t xml:space="preserve">Situation économique </w:t>
                      </w:r>
                    </w:p>
                  </w:txbxContent>
                </v:textbox>
                <w10:anchorlock/>
              </v:shape>
            </w:pict>
          </mc:Fallback>
        </mc:AlternateContent>
      </w:r>
      <w:r w:rsidRPr="0088772B">
        <w:rPr>
          <w:rFonts w:ascii="Segoe UI" w:eastAsia="Times New Roman" w:hAnsi="Segoe UI" w:cs="Segoe UI"/>
          <w:color w:val="222222"/>
          <w:lang w:eastAsia="fr-FR"/>
        </w:rPr>
        <w:t xml:space="preserve"> </w:t>
      </w:r>
    </w:p>
    <w:p w:rsidR="002D00E1" w:rsidRPr="0088772B" w:rsidRDefault="002D00E1" w:rsidP="002D00E1">
      <w:pPr>
        <w:spacing w:after="120" w:line="240" w:lineRule="auto"/>
        <w:jc w:val="both"/>
        <w:rPr>
          <w:rFonts w:ascii="Segoe UI" w:eastAsiaTheme="minorHAnsi" w:hAnsi="Segoe UI" w:cs="Segoe UI"/>
          <w:b/>
          <w:color w:val="006CE5"/>
          <w:u w:val="single"/>
        </w:rPr>
      </w:pPr>
      <w:r w:rsidRPr="0088772B">
        <w:rPr>
          <w:rFonts w:ascii="Segoe UI" w:eastAsia="Calibri" w:hAnsi="Segoe UI" w:cs="Segoe UI"/>
          <w:i/>
          <w:color w:val="006CE5"/>
          <w:lang w:eastAsia="fr-FR"/>
        </w:rPr>
        <w:t xml:space="preserve">Les variations indiquées dans les tableaux ci-dessous sont exprimées en glissement annuel. </w:t>
      </w:r>
    </w:p>
    <w:p w:rsidR="008577FA" w:rsidRPr="008577FA" w:rsidRDefault="008577FA" w:rsidP="008577FA">
      <w:pPr>
        <w:spacing w:before="120" w:after="240" w:line="240" w:lineRule="auto"/>
        <w:jc w:val="both"/>
        <w:rPr>
          <w:rFonts w:ascii="Segoe UI" w:eastAsia="Calibri" w:hAnsi="Segoe UI" w:cs="Segoe UI"/>
          <w:i/>
          <w:color w:val="767171" w:themeColor="background2" w:themeShade="80"/>
          <w:sz w:val="18"/>
          <w:szCs w:val="18"/>
          <w:lang w:eastAsia="fr-FR"/>
        </w:rPr>
      </w:pPr>
      <w:r w:rsidRPr="008577FA">
        <w:rPr>
          <w:rFonts w:ascii="Segoe UI" w:eastAsia="Calibri" w:hAnsi="Segoe UI" w:cs="Segoe UI"/>
          <w:i/>
          <w:color w:val="767171" w:themeColor="background2" w:themeShade="80"/>
          <w:sz w:val="18"/>
          <w:szCs w:val="18"/>
          <w:lang w:eastAsia="fr-FR"/>
        </w:rPr>
        <w:t xml:space="preserve">NB : suppression de l’indicateur « voyageurs des transports collectifs interurbains » car le </w:t>
      </w:r>
      <w:r>
        <w:rPr>
          <w:rFonts w:ascii="Segoe UI" w:eastAsia="Calibri" w:hAnsi="Segoe UI" w:cs="Segoe UI"/>
          <w:i/>
          <w:color w:val="767171" w:themeColor="background2" w:themeShade="80"/>
          <w:sz w:val="18"/>
          <w:szCs w:val="18"/>
          <w:lang w:eastAsia="fr-FR"/>
        </w:rPr>
        <w:t>ministère des T</w:t>
      </w:r>
      <w:r w:rsidRPr="008577FA">
        <w:rPr>
          <w:rFonts w:ascii="Segoe UI" w:eastAsia="Calibri" w:hAnsi="Segoe UI" w:cs="Segoe UI"/>
          <w:i/>
          <w:color w:val="767171" w:themeColor="background2" w:themeShade="80"/>
          <w:sz w:val="18"/>
          <w:szCs w:val="18"/>
          <w:lang w:eastAsia="fr-FR"/>
        </w:rPr>
        <w:t>ransports a suspendu à partir du 6 juin la publication de ces statistiques, qu’il publiait depuis le 3 mars.</w:t>
      </w:r>
    </w:p>
    <w:p w:rsidR="002D00E1" w:rsidRPr="0088772B" w:rsidRDefault="002D00E1" w:rsidP="002D00E1">
      <w:pPr>
        <w:spacing w:before="120" w:after="120"/>
        <w:rPr>
          <w:rFonts w:ascii="Segoe UI" w:eastAsiaTheme="minorHAnsi" w:hAnsi="Segoe UI" w:cs="Segoe UI"/>
          <w:b/>
          <w:color w:val="006CE5"/>
          <w:u w:val="single"/>
        </w:rPr>
      </w:pPr>
      <w:r w:rsidRPr="0088772B">
        <w:rPr>
          <w:rFonts w:ascii="Segoe UI" w:eastAsiaTheme="minorHAnsi" w:hAnsi="Segoe UI" w:cs="Segoe UI"/>
          <w:b/>
          <w:color w:val="006CE5"/>
          <w:u w:val="single"/>
        </w:rPr>
        <w:t>Indicateurs de mobilité urbaine</w:t>
      </w:r>
    </w:p>
    <w:tbl>
      <w:tblPr>
        <w:tblStyle w:val="Grilledutableau4"/>
        <w:tblW w:w="5000" w:type="pct"/>
        <w:tblLook w:val="04A0" w:firstRow="1" w:lastRow="0" w:firstColumn="1" w:lastColumn="0" w:noHBand="0" w:noVBand="1"/>
      </w:tblPr>
      <w:tblGrid>
        <w:gridCol w:w="2795"/>
        <w:gridCol w:w="1253"/>
        <w:gridCol w:w="1253"/>
        <w:gridCol w:w="1253"/>
        <w:gridCol w:w="1253"/>
        <w:gridCol w:w="1255"/>
      </w:tblGrid>
      <w:tr w:rsidR="008577FA" w:rsidRPr="0088772B" w:rsidTr="00A8525F">
        <w:trPr>
          <w:trHeight w:val="250"/>
        </w:trPr>
        <w:tc>
          <w:tcPr>
            <w:tcW w:w="2795" w:type="dxa"/>
            <w:tcBorders>
              <w:top w:val="single" w:sz="4" w:space="0" w:color="auto"/>
              <w:left w:val="single" w:sz="4" w:space="0" w:color="auto"/>
              <w:bottom w:val="single" w:sz="4" w:space="0" w:color="auto"/>
              <w:right w:val="single" w:sz="4" w:space="0" w:color="auto"/>
            </w:tcBorders>
            <w:shd w:val="clear" w:color="auto" w:fill="auto"/>
            <w:hideMark/>
          </w:tcPr>
          <w:p w:rsidR="008577FA" w:rsidRPr="0088772B" w:rsidRDefault="008577FA" w:rsidP="008577FA">
            <w:pPr>
              <w:jc w:val="center"/>
              <w:rPr>
                <w:rFonts w:ascii="Segoe UI" w:eastAsiaTheme="minorHAnsi" w:hAnsi="Segoe UI" w:cs="Segoe UI"/>
                <w:color w:val="006CE5"/>
                <w:sz w:val="20"/>
                <w:szCs w:val="20"/>
              </w:rPr>
            </w:pPr>
            <w:r w:rsidRPr="0088772B">
              <w:rPr>
                <w:rFonts w:ascii="Segoe UI" w:eastAsiaTheme="minorHAnsi" w:hAnsi="Segoe UI" w:cs="Segoe UI"/>
                <w:color w:val="006CE5"/>
                <w:sz w:val="20"/>
                <w:szCs w:val="20"/>
              </w:rPr>
              <w:t>Fréquentation du métro</w:t>
            </w:r>
          </w:p>
          <w:p w:rsidR="008577FA" w:rsidRPr="0088772B" w:rsidRDefault="008577FA" w:rsidP="008577FA">
            <w:pPr>
              <w:jc w:val="center"/>
              <w:rPr>
                <w:rFonts w:ascii="Segoe UI" w:eastAsiaTheme="minorHAnsi" w:hAnsi="Segoe UI" w:cs="Segoe UI"/>
                <w:color w:val="006CE5"/>
                <w:sz w:val="20"/>
                <w:szCs w:val="20"/>
              </w:rPr>
            </w:pPr>
            <w:r w:rsidRPr="0088772B">
              <w:rPr>
                <w:rFonts w:ascii="Segoe UI" w:eastAsiaTheme="minorHAnsi" w:hAnsi="Segoe UI" w:cs="Segoe UI"/>
                <w:color w:val="006CE5"/>
                <w:sz w:val="20"/>
                <w:szCs w:val="20"/>
              </w:rPr>
              <w:t>(voyageurs quotidiens)</w:t>
            </w:r>
          </w:p>
        </w:tc>
        <w:tc>
          <w:tcPr>
            <w:tcW w:w="1253" w:type="dxa"/>
            <w:tcBorders>
              <w:top w:val="single" w:sz="4" w:space="0" w:color="auto"/>
              <w:left w:val="single" w:sz="4" w:space="0" w:color="auto"/>
              <w:bottom w:val="single" w:sz="4" w:space="0" w:color="auto"/>
              <w:right w:val="single" w:sz="4" w:space="0" w:color="auto"/>
            </w:tcBorders>
          </w:tcPr>
          <w:p w:rsidR="008577FA" w:rsidRPr="00AD4885" w:rsidRDefault="008577FA" w:rsidP="008577FA">
            <w:pPr>
              <w:ind w:left="-133" w:right="-113"/>
              <w:jc w:val="center"/>
              <w:rPr>
                <w:rFonts w:ascii="Segoe UI" w:eastAsiaTheme="minorHAnsi" w:hAnsi="Segoe UI" w:cs="Segoe UI"/>
                <w:color w:val="006CE5"/>
                <w:sz w:val="20"/>
                <w:szCs w:val="20"/>
              </w:rPr>
            </w:pPr>
            <w:r w:rsidRPr="00AD4885">
              <w:rPr>
                <w:rFonts w:ascii="Segoe UI" w:eastAsiaTheme="minorHAnsi" w:hAnsi="Segoe UI" w:cs="Segoe UI"/>
                <w:color w:val="006CE5"/>
                <w:sz w:val="20"/>
                <w:szCs w:val="20"/>
              </w:rPr>
              <w:t>semaine du</w:t>
            </w:r>
          </w:p>
          <w:p w:rsidR="008577FA" w:rsidRPr="00AD4885" w:rsidRDefault="008577FA" w:rsidP="008577FA">
            <w:pPr>
              <w:jc w:val="center"/>
              <w:rPr>
                <w:rFonts w:ascii="Segoe UI" w:eastAsiaTheme="minorHAnsi" w:hAnsi="Segoe UI" w:cs="Segoe UI"/>
                <w:color w:val="006CE5"/>
                <w:sz w:val="20"/>
                <w:szCs w:val="20"/>
              </w:rPr>
            </w:pPr>
            <w:r w:rsidRPr="00AD4885">
              <w:rPr>
                <w:rFonts w:ascii="Segoe UI" w:eastAsiaTheme="minorHAnsi" w:hAnsi="Segoe UI" w:cs="Segoe UI"/>
                <w:color w:val="006CE5"/>
                <w:sz w:val="20"/>
                <w:szCs w:val="20"/>
              </w:rPr>
              <w:t>18 mai</w:t>
            </w:r>
          </w:p>
        </w:tc>
        <w:tc>
          <w:tcPr>
            <w:tcW w:w="1253" w:type="dxa"/>
            <w:tcBorders>
              <w:top w:val="single" w:sz="4" w:space="0" w:color="auto"/>
              <w:left w:val="single" w:sz="4" w:space="0" w:color="auto"/>
              <w:bottom w:val="single" w:sz="4" w:space="0" w:color="auto"/>
              <w:right w:val="single" w:sz="4" w:space="0" w:color="auto"/>
            </w:tcBorders>
          </w:tcPr>
          <w:p w:rsidR="008577FA" w:rsidRPr="002D00E1" w:rsidRDefault="008577FA" w:rsidP="008577FA">
            <w:pPr>
              <w:ind w:left="-133" w:right="-113"/>
              <w:jc w:val="center"/>
              <w:rPr>
                <w:rFonts w:ascii="Segoe UI" w:eastAsiaTheme="minorHAnsi" w:hAnsi="Segoe UI" w:cs="Segoe UI"/>
                <w:color w:val="006CE5"/>
                <w:sz w:val="20"/>
                <w:szCs w:val="20"/>
              </w:rPr>
            </w:pPr>
            <w:r w:rsidRPr="002D00E1">
              <w:rPr>
                <w:rFonts w:ascii="Segoe UI" w:eastAsiaTheme="minorHAnsi" w:hAnsi="Segoe UI" w:cs="Segoe UI"/>
                <w:color w:val="006CE5"/>
                <w:sz w:val="20"/>
                <w:szCs w:val="20"/>
              </w:rPr>
              <w:t>semaine du 25 mai</w:t>
            </w:r>
          </w:p>
        </w:tc>
        <w:tc>
          <w:tcPr>
            <w:tcW w:w="1253" w:type="dxa"/>
            <w:tcBorders>
              <w:top w:val="single" w:sz="4" w:space="0" w:color="auto"/>
              <w:left w:val="single" w:sz="4" w:space="0" w:color="auto"/>
              <w:bottom w:val="single" w:sz="4" w:space="0" w:color="auto"/>
              <w:right w:val="single" w:sz="4" w:space="0" w:color="auto"/>
            </w:tcBorders>
          </w:tcPr>
          <w:p w:rsidR="008577FA" w:rsidRPr="002D00E1" w:rsidRDefault="008577FA" w:rsidP="008577FA">
            <w:pPr>
              <w:ind w:left="-133" w:right="-113"/>
              <w:jc w:val="center"/>
              <w:rPr>
                <w:rFonts w:ascii="Segoe UI" w:eastAsiaTheme="minorHAnsi" w:hAnsi="Segoe UI" w:cs="Segoe UI"/>
                <w:color w:val="006CE5"/>
                <w:sz w:val="20"/>
                <w:szCs w:val="20"/>
              </w:rPr>
            </w:pPr>
            <w:r w:rsidRPr="002D00E1">
              <w:rPr>
                <w:rFonts w:ascii="Segoe UI" w:eastAsiaTheme="minorHAnsi" w:hAnsi="Segoe UI" w:cs="Segoe UI"/>
                <w:color w:val="006CE5"/>
                <w:sz w:val="20"/>
                <w:szCs w:val="20"/>
              </w:rPr>
              <w:t>semaine du 1</w:t>
            </w:r>
            <w:r w:rsidRPr="002D00E1">
              <w:rPr>
                <w:rFonts w:ascii="Segoe UI" w:eastAsiaTheme="minorHAnsi" w:hAnsi="Segoe UI" w:cs="Segoe UI"/>
                <w:color w:val="006CE5"/>
                <w:sz w:val="20"/>
                <w:szCs w:val="20"/>
                <w:vertAlign w:val="superscript"/>
              </w:rPr>
              <w:t>er</w:t>
            </w:r>
            <w:r w:rsidRPr="002D00E1">
              <w:rPr>
                <w:rFonts w:ascii="Segoe UI" w:eastAsiaTheme="minorHAnsi" w:hAnsi="Segoe UI" w:cs="Segoe UI"/>
                <w:color w:val="006CE5"/>
                <w:sz w:val="20"/>
                <w:szCs w:val="20"/>
              </w:rPr>
              <w:t xml:space="preserve"> juin</w:t>
            </w:r>
          </w:p>
        </w:tc>
        <w:tc>
          <w:tcPr>
            <w:tcW w:w="1253" w:type="dxa"/>
            <w:tcBorders>
              <w:top w:val="single" w:sz="4" w:space="0" w:color="auto"/>
              <w:left w:val="single" w:sz="4" w:space="0" w:color="auto"/>
              <w:bottom w:val="single" w:sz="4" w:space="0" w:color="auto"/>
              <w:right w:val="single" w:sz="4" w:space="0" w:color="auto"/>
            </w:tcBorders>
          </w:tcPr>
          <w:p w:rsidR="008577FA" w:rsidRPr="008577FA" w:rsidRDefault="008577FA" w:rsidP="008577FA">
            <w:pPr>
              <w:ind w:left="-133" w:right="-113"/>
              <w:jc w:val="center"/>
              <w:rPr>
                <w:rFonts w:ascii="Segoe UI" w:eastAsiaTheme="minorHAnsi" w:hAnsi="Segoe UI" w:cs="Segoe UI"/>
                <w:color w:val="006CE5"/>
                <w:sz w:val="20"/>
                <w:szCs w:val="20"/>
              </w:rPr>
            </w:pPr>
            <w:r w:rsidRPr="008577FA">
              <w:rPr>
                <w:rFonts w:ascii="Segoe UI" w:eastAsiaTheme="minorHAnsi" w:hAnsi="Segoe UI" w:cs="Segoe UI"/>
                <w:color w:val="006CE5"/>
                <w:sz w:val="20"/>
                <w:szCs w:val="20"/>
              </w:rPr>
              <w:t>semaine du</w:t>
            </w:r>
          </w:p>
          <w:p w:rsidR="008577FA" w:rsidRPr="008577FA" w:rsidRDefault="008577FA" w:rsidP="008577FA">
            <w:pPr>
              <w:ind w:left="-133" w:right="-113"/>
              <w:jc w:val="center"/>
              <w:rPr>
                <w:rFonts w:ascii="Segoe UI" w:eastAsiaTheme="minorHAnsi" w:hAnsi="Segoe UI" w:cs="Segoe UI"/>
                <w:color w:val="006CE5"/>
                <w:sz w:val="20"/>
                <w:szCs w:val="20"/>
              </w:rPr>
            </w:pPr>
            <w:r w:rsidRPr="008577FA">
              <w:rPr>
                <w:rFonts w:ascii="Segoe UI" w:eastAsiaTheme="minorHAnsi" w:hAnsi="Segoe UI" w:cs="Segoe UI"/>
                <w:color w:val="006CE5"/>
                <w:sz w:val="20"/>
                <w:szCs w:val="20"/>
              </w:rPr>
              <w:t>8 juin</w:t>
            </w:r>
          </w:p>
        </w:tc>
        <w:tc>
          <w:tcPr>
            <w:tcW w:w="125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577FA" w:rsidRPr="008577FA" w:rsidRDefault="008577FA" w:rsidP="008577FA">
            <w:pPr>
              <w:jc w:val="center"/>
              <w:rPr>
                <w:rFonts w:ascii="Segoe UI" w:eastAsiaTheme="minorHAnsi" w:hAnsi="Segoe UI" w:cs="Segoe UI"/>
                <w:b/>
                <w:color w:val="006CE5"/>
                <w:sz w:val="20"/>
                <w:szCs w:val="20"/>
              </w:rPr>
            </w:pPr>
            <w:r w:rsidRPr="008577FA">
              <w:rPr>
                <w:rFonts w:ascii="Segoe UI" w:eastAsiaTheme="minorHAnsi" w:hAnsi="Segoe UI" w:cs="Segoe UI"/>
                <w:b/>
                <w:color w:val="006CE5"/>
                <w:sz w:val="20"/>
                <w:szCs w:val="20"/>
              </w:rPr>
              <w:t>16 juin</w:t>
            </w:r>
          </w:p>
        </w:tc>
      </w:tr>
      <w:tr w:rsidR="008577FA" w:rsidRPr="0088772B" w:rsidTr="00A8525F">
        <w:trPr>
          <w:trHeight w:val="587"/>
        </w:trPr>
        <w:tc>
          <w:tcPr>
            <w:tcW w:w="2795" w:type="dxa"/>
            <w:tcBorders>
              <w:top w:val="single" w:sz="4" w:space="0" w:color="auto"/>
              <w:left w:val="single" w:sz="4" w:space="0" w:color="auto"/>
              <w:bottom w:val="single" w:sz="4" w:space="0" w:color="auto"/>
              <w:right w:val="single" w:sz="4" w:space="0" w:color="auto"/>
            </w:tcBorders>
            <w:hideMark/>
          </w:tcPr>
          <w:p w:rsidR="008577FA" w:rsidRPr="0088772B" w:rsidRDefault="008577FA" w:rsidP="008577FA">
            <w:pPr>
              <w:jc w:val="center"/>
              <w:rPr>
                <w:rFonts w:ascii="Segoe UI" w:hAnsi="Segoe UI" w:cs="Segoe UI"/>
                <w:sz w:val="19"/>
                <w:szCs w:val="19"/>
              </w:rPr>
            </w:pPr>
            <w:r w:rsidRPr="0088772B">
              <w:rPr>
                <w:rFonts w:ascii="Segoe UI" w:hAnsi="Segoe UI" w:cs="Segoe UI"/>
                <w:sz w:val="20"/>
                <w:szCs w:val="20"/>
              </w:rPr>
              <w:t>Pékin</w:t>
            </w:r>
          </w:p>
        </w:tc>
        <w:tc>
          <w:tcPr>
            <w:tcW w:w="1253" w:type="dxa"/>
            <w:tcBorders>
              <w:top w:val="single" w:sz="4" w:space="0" w:color="auto"/>
              <w:left w:val="single" w:sz="4" w:space="0" w:color="auto"/>
              <w:bottom w:val="single" w:sz="4" w:space="0" w:color="auto"/>
              <w:right w:val="single" w:sz="4" w:space="0" w:color="auto"/>
            </w:tcBorders>
          </w:tcPr>
          <w:p w:rsidR="008577FA" w:rsidRPr="00AD4885" w:rsidRDefault="008577FA" w:rsidP="008577FA">
            <w:pPr>
              <w:ind w:left="-133" w:right="-113"/>
              <w:jc w:val="center"/>
              <w:rPr>
                <w:rFonts w:ascii="Segoe UI" w:hAnsi="Segoe UI" w:cs="Segoe UI"/>
                <w:sz w:val="20"/>
                <w:szCs w:val="20"/>
              </w:rPr>
            </w:pPr>
            <w:r w:rsidRPr="00AD4885">
              <w:rPr>
                <w:rFonts w:ascii="Segoe UI" w:hAnsi="Segoe UI" w:cs="Segoe UI"/>
                <w:sz w:val="20"/>
                <w:szCs w:val="20"/>
              </w:rPr>
              <w:t>5 277 000</w:t>
            </w:r>
          </w:p>
          <w:p w:rsidR="008577FA" w:rsidRPr="00AD4885" w:rsidRDefault="008577FA" w:rsidP="008577FA">
            <w:pPr>
              <w:jc w:val="center"/>
              <w:rPr>
                <w:rFonts w:ascii="Segoe UI" w:hAnsi="Segoe UI" w:cs="Segoe UI"/>
                <w:b/>
                <w:sz w:val="20"/>
                <w:szCs w:val="20"/>
              </w:rPr>
            </w:pPr>
            <w:r w:rsidRPr="00AD4885">
              <w:rPr>
                <w:rFonts w:ascii="Segoe UI" w:hAnsi="Segoe UI" w:cs="Segoe UI"/>
                <w:sz w:val="20"/>
                <w:szCs w:val="20"/>
              </w:rPr>
              <w:t>(</w:t>
            </w:r>
            <w:r w:rsidRPr="00AD4885">
              <w:rPr>
                <w:rFonts w:ascii="Segoe UI" w:hAnsi="Segoe UI" w:cs="Segoe UI"/>
                <w:color w:val="FF0000"/>
                <w:sz w:val="20"/>
                <w:szCs w:val="20"/>
              </w:rPr>
              <w:t>-41 %</w:t>
            </w:r>
            <w:r w:rsidRPr="00AD4885">
              <w:rPr>
                <w:rFonts w:ascii="Segoe UI" w:hAnsi="Segoe UI" w:cs="Segoe UI"/>
                <w:sz w:val="20"/>
                <w:szCs w:val="20"/>
              </w:rPr>
              <w:t>)</w:t>
            </w:r>
          </w:p>
        </w:tc>
        <w:tc>
          <w:tcPr>
            <w:tcW w:w="1253" w:type="dxa"/>
            <w:tcBorders>
              <w:top w:val="single" w:sz="4" w:space="0" w:color="auto"/>
              <w:left w:val="single" w:sz="4" w:space="0" w:color="auto"/>
              <w:bottom w:val="single" w:sz="4" w:space="0" w:color="auto"/>
              <w:right w:val="single" w:sz="4" w:space="0" w:color="auto"/>
            </w:tcBorders>
          </w:tcPr>
          <w:p w:rsidR="008577FA" w:rsidRPr="002D00E1" w:rsidRDefault="008577FA" w:rsidP="008577FA">
            <w:pPr>
              <w:ind w:left="-133" w:right="-113"/>
              <w:jc w:val="center"/>
              <w:rPr>
                <w:rFonts w:ascii="Segoe UI" w:hAnsi="Segoe UI" w:cs="Segoe UI"/>
                <w:sz w:val="20"/>
                <w:szCs w:val="20"/>
              </w:rPr>
            </w:pPr>
            <w:r w:rsidRPr="002D00E1">
              <w:rPr>
                <w:rFonts w:ascii="Segoe UI" w:hAnsi="Segoe UI" w:cs="Segoe UI"/>
                <w:sz w:val="20"/>
                <w:szCs w:val="20"/>
              </w:rPr>
              <w:t>5 277 000</w:t>
            </w:r>
          </w:p>
          <w:p w:rsidR="008577FA" w:rsidRPr="002D00E1" w:rsidRDefault="008577FA" w:rsidP="008577FA">
            <w:pPr>
              <w:ind w:left="-133" w:right="-113"/>
              <w:jc w:val="center"/>
              <w:rPr>
                <w:rFonts w:ascii="Segoe UI" w:hAnsi="Segoe UI" w:cs="Segoe UI"/>
                <w:sz w:val="20"/>
                <w:szCs w:val="20"/>
              </w:rPr>
            </w:pPr>
            <w:r w:rsidRPr="002D00E1">
              <w:rPr>
                <w:rFonts w:ascii="Segoe UI" w:hAnsi="Segoe UI" w:cs="Segoe UI"/>
                <w:sz w:val="20"/>
                <w:szCs w:val="20"/>
              </w:rPr>
              <w:t>(</w:t>
            </w:r>
            <w:r w:rsidRPr="002D00E1">
              <w:rPr>
                <w:rFonts w:ascii="Segoe UI" w:hAnsi="Segoe UI" w:cs="Segoe UI"/>
                <w:color w:val="FF0000"/>
                <w:sz w:val="20"/>
                <w:szCs w:val="20"/>
              </w:rPr>
              <w:t>-39 %</w:t>
            </w:r>
            <w:r w:rsidRPr="002D00E1">
              <w:rPr>
                <w:rFonts w:ascii="Segoe UI" w:hAnsi="Segoe UI" w:cs="Segoe UI"/>
                <w:sz w:val="20"/>
                <w:szCs w:val="20"/>
              </w:rPr>
              <w:t>)</w:t>
            </w:r>
          </w:p>
        </w:tc>
        <w:tc>
          <w:tcPr>
            <w:tcW w:w="1253" w:type="dxa"/>
            <w:tcBorders>
              <w:top w:val="single" w:sz="4" w:space="0" w:color="auto"/>
              <w:left w:val="single" w:sz="4" w:space="0" w:color="auto"/>
              <w:bottom w:val="single" w:sz="4" w:space="0" w:color="auto"/>
              <w:right w:val="single" w:sz="4" w:space="0" w:color="auto"/>
            </w:tcBorders>
          </w:tcPr>
          <w:p w:rsidR="008577FA" w:rsidRPr="002D00E1" w:rsidRDefault="008577FA" w:rsidP="008577FA">
            <w:pPr>
              <w:ind w:left="-133" w:right="-113"/>
              <w:jc w:val="center"/>
              <w:rPr>
                <w:rFonts w:ascii="Segoe UI" w:hAnsi="Segoe UI" w:cs="Segoe UI"/>
                <w:sz w:val="20"/>
                <w:szCs w:val="20"/>
              </w:rPr>
            </w:pPr>
            <w:r w:rsidRPr="002D00E1">
              <w:rPr>
                <w:rFonts w:ascii="Segoe UI" w:hAnsi="Segoe UI" w:cs="Segoe UI"/>
                <w:sz w:val="20"/>
                <w:szCs w:val="20"/>
              </w:rPr>
              <w:t>5 889 000</w:t>
            </w:r>
          </w:p>
          <w:p w:rsidR="008577FA" w:rsidRPr="002D00E1" w:rsidRDefault="008577FA" w:rsidP="008577FA">
            <w:pPr>
              <w:ind w:left="-133" w:right="-113"/>
              <w:jc w:val="center"/>
              <w:rPr>
                <w:rFonts w:ascii="Segoe UI" w:hAnsi="Segoe UI" w:cs="Segoe UI"/>
                <w:sz w:val="20"/>
                <w:szCs w:val="20"/>
              </w:rPr>
            </w:pPr>
            <w:r w:rsidRPr="002D00E1">
              <w:rPr>
                <w:rFonts w:ascii="Segoe UI" w:hAnsi="Segoe UI" w:cs="Segoe UI"/>
                <w:sz w:val="20"/>
                <w:szCs w:val="20"/>
              </w:rPr>
              <w:t>(</w:t>
            </w:r>
            <w:r w:rsidRPr="002D00E1">
              <w:rPr>
                <w:rFonts w:ascii="Segoe UI" w:hAnsi="Segoe UI" w:cs="Segoe UI"/>
                <w:color w:val="FF0000"/>
                <w:sz w:val="20"/>
                <w:szCs w:val="20"/>
              </w:rPr>
              <w:t>-29 %</w:t>
            </w:r>
            <w:r w:rsidRPr="002D00E1">
              <w:rPr>
                <w:rFonts w:ascii="Segoe UI" w:hAnsi="Segoe UI" w:cs="Segoe UI"/>
                <w:sz w:val="20"/>
                <w:szCs w:val="20"/>
              </w:rPr>
              <w:t>)</w:t>
            </w:r>
          </w:p>
        </w:tc>
        <w:tc>
          <w:tcPr>
            <w:tcW w:w="1253" w:type="dxa"/>
            <w:tcBorders>
              <w:top w:val="single" w:sz="4" w:space="0" w:color="auto"/>
              <w:left w:val="single" w:sz="4" w:space="0" w:color="auto"/>
              <w:bottom w:val="single" w:sz="4" w:space="0" w:color="auto"/>
              <w:right w:val="single" w:sz="4" w:space="0" w:color="auto"/>
            </w:tcBorders>
          </w:tcPr>
          <w:p w:rsidR="008577FA" w:rsidRPr="008577FA" w:rsidRDefault="008577FA" w:rsidP="008577FA">
            <w:pPr>
              <w:ind w:left="-133" w:right="-113"/>
              <w:jc w:val="center"/>
              <w:rPr>
                <w:rFonts w:ascii="Segoe UI" w:hAnsi="Segoe UI" w:cs="Segoe UI"/>
                <w:sz w:val="20"/>
                <w:szCs w:val="20"/>
              </w:rPr>
            </w:pPr>
            <w:r w:rsidRPr="008577FA">
              <w:rPr>
                <w:rFonts w:ascii="Segoe UI" w:hAnsi="Segoe UI" w:cs="Segoe UI"/>
                <w:sz w:val="20"/>
                <w:szCs w:val="20"/>
              </w:rPr>
              <w:t>5 818 000</w:t>
            </w:r>
          </w:p>
          <w:p w:rsidR="008577FA" w:rsidRPr="008577FA" w:rsidRDefault="008577FA" w:rsidP="008577FA">
            <w:pPr>
              <w:ind w:left="-133" w:right="-113"/>
              <w:jc w:val="center"/>
              <w:rPr>
                <w:rFonts w:ascii="Segoe UI" w:hAnsi="Segoe UI" w:cs="Segoe UI"/>
                <w:sz w:val="20"/>
                <w:szCs w:val="20"/>
              </w:rPr>
            </w:pPr>
            <w:r w:rsidRPr="008577FA">
              <w:rPr>
                <w:rFonts w:ascii="Segoe UI" w:hAnsi="Segoe UI" w:cs="Segoe UI"/>
                <w:sz w:val="20"/>
                <w:szCs w:val="20"/>
              </w:rPr>
              <w:t>(</w:t>
            </w:r>
            <w:r w:rsidRPr="008577FA">
              <w:rPr>
                <w:rFonts w:ascii="Segoe UI" w:hAnsi="Segoe UI" w:cs="Segoe UI"/>
                <w:color w:val="FF0000"/>
                <w:sz w:val="20"/>
                <w:szCs w:val="20"/>
              </w:rPr>
              <w:t>-35 %</w:t>
            </w:r>
            <w:r w:rsidRPr="008577FA">
              <w:rPr>
                <w:rFonts w:ascii="Segoe UI" w:hAnsi="Segoe UI" w:cs="Segoe UI"/>
                <w:sz w:val="20"/>
                <w:szCs w:val="20"/>
              </w:rPr>
              <w:t>)</w:t>
            </w:r>
          </w:p>
        </w:tc>
        <w:tc>
          <w:tcPr>
            <w:tcW w:w="125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577FA" w:rsidRPr="008577FA" w:rsidRDefault="008577FA" w:rsidP="008577FA">
            <w:pPr>
              <w:jc w:val="center"/>
              <w:rPr>
                <w:rFonts w:ascii="Segoe UI" w:hAnsi="Segoe UI" w:cs="Segoe UI"/>
                <w:b/>
                <w:sz w:val="20"/>
                <w:szCs w:val="20"/>
              </w:rPr>
            </w:pPr>
            <w:r w:rsidRPr="008577FA">
              <w:rPr>
                <w:rFonts w:ascii="Segoe UI" w:hAnsi="Segoe UI" w:cs="Segoe UI"/>
                <w:b/>
                <w:sz w:val="20"/>
                <w:szCs w:val="20"/>
              </w:rPr>
              <w:t>4 964 000</w:t>
            </w:r>
          </w:p>
          <w:p w:rsidR="008577FA" w:rsidRPr="008577FA" w:rsidRDefault="008577FA" w:rsidP="008577FA">
            <w:pPr>
              <w:jc w:val="center"/>
              <w:rPr>
                <w:rFonts w:ascii="Segoe UI" w:hAnsi="Segoe UI" w:cs="Segoe UI"/>
                <w:b/>
                <w:sz w:val="20"/>
                <w:szCs w:val="20"/>
              </w:rPr>
            </w:pPr>
            <w:r w:rsidRPr="008577FA">
              <w:rPr>
                <w:rFonts w:ascii="Segoe UI" w:hAnsi="Segoe UI" w:cs="Segoe UI"/>
                <w:b/>
                <w:sz w:val="20"/>
                <w:szCs w:val="20"/>
              </w:rPr>
              <w:t>(</w:t>
            </w:r>
            <w:r w:rsidRPr="008577FA">
              <w:rPr>
                <w:rFonts w:ascii="Segoe UI" w:hAnsi="Segoe UI" w:cs="Segoe UI"/>
                <w:b/>
                <w:color w:val="FF0000"/>
                <w:sz w:val="20"/>
                <w:szCs w:val="20"/>
              </w:rPr>
              <w:t>-52 %</w:t>
            </w:r>
            <w:r w:rsidRPr="008577FA">
              <w:rPr>
                <w:rFonts w:ascii="Segoe UI" w:hAnsi="Segoe UI" w:cs="Segoe UI"/>
                <w:b/>
                <w:sz w:val="20"/>
                <w:szCs w:val="20"/>
              </w:rPr>
              <w:t>)</w:t>
            </w:r>
          </w:p>
        </w:tc>
      </w:tr>
      <w:tr w:rsidR="008577FA" w:rsidRPr="0088772B" w:rsidTr="00A8525F">
        <w:trPr>
          <w:trHeight w:val="608"/>
        </w:trPr>
        <w:tc>
          <w:tcPr>
            <w:tcW w:w="2795" w:type="dxa"/>
            <w:tcBorders>
              <w:top w:val="single" w:sz="4" w:space="0" w:color="auto"/>
              <w:left w:val="single" w:sz="4" w:space="0" w:color="auto"/>
              <w:bottom w:val="single" w:sz="4" w:space="0" w:color="auto"/>
              <w:right w:val="single" w:sz="4" w:space="0" w:color="auto"/>
            </w:tcBorders>
            <w:hideMark/>
          </w:tcPr>
          <w:p w:rsidR="008577FA" w:rsidRPr="0088772B" w:rsidRDefault="008577FA" w:rsidP="008577FA">
            <w:pPr>
              <w:jc w:val="center"/>
              <w:rPr>
                <w:rFonts w:ascii="Segoe UI" w:hAnsi="Segoe UI" w:cs="Segoe UI"/>
                <w:sz w:val="19"/>
                <w:szCs w:val="19"/>
              </w:rPr>
            </w:pPr>
            <w:r w:rsidRPr="0088772B">
              <w:rPr>
                <w:rFonts w:ascii="Segoe UI" w:hAnsi="Segoe UI" w:cs="Segoe UI"/>
                <w:sz w:val="20"/>
                <w:szCs w:val="20"/>
              </w:rPr>
              <w:t>Shanghai</w:t>
            </w:r>
          </w:p>
        </w:tc>
        <w:tc>
          <w:tcPr>
            <w:tcW w:w="1253" w:type="dxa"/>
            <w:tcBorders>
              <w:top w:val="single" w:sz="4" w:space="0" w:color="auto"/>
              <w:left w:val="single" w:sz="4" w:space="0" w:color="auto"/>
              <w:bottom w:val="single" w:sz="4" w:space="0" w:color="auto"/>
              <w:right w:val="single" w:sz="4" w:space="0" w:color="auto"/>
            </w:tcBorders>
          </w:tcPr>
          <w:p w:rsidR="008577FA" w:rsidRPr="00AD4885" w:rsidRDefault="008577FA" w:rsidP="008577FA">
            <w:pPr>
              <w:autoSpaceDE w:val="0"/>
              <w:autoSpaceDN w:val="0"/>
              <w:spacing w:after="40"/>
              <w:jc w:val="center"/>
              <w:rPr>
                <w:rFonts w:ascii="Segoe UI" w:hAnsi="Segoe UI" w:cs="Segoe UI"/>
                <w:sz w:val="20"/>
                <w:szCs w:val="20"/>
              </w:rPr>
            </w:pPr>
            <w:r w:rsidRPr="00AD4885">
              <w:rPr>
                <w:rFonts w:ascii="Segoe UI" w:hAnsi="Segoe UI" w:cs="Segoe UI"/>
                <w:sz w:val="20"/>
                <w:szCs w:val="20"/>
              </w:rPr>
              <w:t>8 066 000</w:t>
            </w:r>
          </w:p>
          <w:p w:rsidR="008577FA" w:rsidRPr="00AD4885" w:rsidRDefault="008577FA" w:rsidP="008577FA">
            <w:pPr>
              <w:autoSpaceDE w:val="0"/>
              <w:autoSpaceDN w:val="0"/>
              <w:spacing w:before="40"/>
              <w:jc w:val="center"/>
              <w:rPr>
                <w:rFonts w:ascii="Segoe UI" w:hAnsi="Segoe UI" w:cs="Segoe UI"/>
                <w:sz w:val="20"/>
                <w:szCs w:val="20"/>
              </w:rPr>
            </w:pPr>
            <w:r w:rsidRPr="00AD4885">
              <w:rPr>
                <w:rFonts w:ascii="Segoe UI" w:hAnsi="Segoe UI" w:cs="Segoe UI"/>
                <w:sz w:val="20"/>
                <w:szCs w:val="20"/>
              </w:rPr>
              <w:t>(</w:t>
            </w:r>
            <w:r w:rsidRPr="00AD4885">
              <w:rPr>
                <w:rFonts w:ascii="Segoe UI" w:hAnsi="Segoe UI" w:cs="Segoe UI"/>
                <w:color w:val="FF0000"/>
                <w:sz w:val="20"/>
                <w:szCs w:val="20"/>
              </w:rPr>
              <w:t>-25 %*</w:t>
            </w:r>
            <w:r w:rsidRPr="00AD4885">
              <w:rPr>
                <w:rFonts w:ascii="Segoe UI" w:hAnsi="Segoe UI" w:cs="Segoe UI"/>
                <w:sz w:val="20"/>
                <w:szCs w:val="20"/>
              </w:rPr>
              <w:t>)</w:t>
            </w:r>
          </w:p>
        </w:tc>
        <w:tc>
          <w:tcPr>
            <w:tcW w:w="1253" w:type="dxa"/>
            <w:tcBorders>
              <w:top w:val="single" w:sz="4" w:space="0" w:color="auto"/>
              <w:left w:val="single" w:sz="4" w:space="0" w:color="auto"/>
              <w:bottom w:val="single" w:sz="4" w:space="0" w:color="auto"/>
              <w:right w:val="single" w:sz="4" w:space="0" w:color="auto"/>
            </w:tcBorders>
          </w:tcPr>
          <w:p w:rsidR="008577FA" w:rsidRPr="002D00E1" w:rsidRDefault="008577FA" w:rsidP="008577FA">
            <w:pPr>
              <w:tabs>
                <w:tab w:val="center" w:pos="514"/>
              </w:tabs>
              <w:autoSpaceDE w:val="0"/>
              <w:autoSpaceDN w:val="0"/>
              <w:spacing w:after="40"/>
              <w:jc w:val="center"/>
              <w:rPr>
                <w:rFonts w:ascii="Segoe UI" w:hAnsi="Segoe UI" w:cs="Segoe UI"/>
                <w:sz w:val="20"/>
                <w:szCs w:val="20"/>
              </w:rPr>
            </w:pPr>
            <w:r w:rsidRPr="002D00E1">
              <w:rPr>
                <w:rFonts w:ascii="Segoe UI" w:hAnsi="Segoe UI" w:cs="Segoe UI"/>
                <w:sz w:val="20"/>
                <w:szCs w:val="20"/>
              </w:rPr>
              <w:t>8 031 000</w:t>
            </w:r>
          </w:p>
          <w:p w:rsidR="008577FA" w:rsidRPr="002D00E1" w:rsidRDefault="008577FA" w:rsidP="008577FA">
            <w:pPr>
              <w:autoSpaceDE w:val="0"/>
              <w:autoSpaceDN w:val="0"/>
              <w:spacing w:before="40" w:after="40"/>
              <w:jc w:val="center"/>
              <w:rPr>
                <w:rFonts w:ascii="Segoe UI" w:hAnsi="Segoe UI" w:cs="Segoe UI"/>
                <w:sz w:val="20"/>
                <w:szCs w:val="20"/>
              </w:rPr>
            </w:pPr>
            <w:r w:rsidRPr="002D00E1">
              <w:rPr>
                <w:rFonts w:ascii="Segoe UI" w:hAnsi="Segoe UI" w:cs="Segoe UI"/>
                <w:sz w:val="20"/>
                <w:szCs w:val="20"/>
              </w:rPr>
              <w:t>(</w:t>
            </w:r>
            <w:r w:rsidRPr="002D00E1">
              <w:rPr>
                <w:rFonts w:ascii="Segoe UI" w:hAnsi="Segoe UI" w:cs="Segoe UI"/>
                <w:color w:val="FF0000"/>
                <w:sz w:val="20"/>
                <w:szCs w:val="20"/>
              </w:rPr>
              <w:t>-26 %</w:t>
            </w:r>
            <w:r w:rsidRPr="002D00E1">
              <w:rPr>
                <w:rFonts w:ascii="Segoe UI" w:hAnsi="Segoe UI" w:cs="Segoe UI"/>
                <w:sz w:val="20"/>
                <w:szCs w:val="20"/>
              </w:rPr>
              <w:t>)</w:t>
            </w:r>
          </w:p>
        </w:tc>
        <w:tc>
          <w:tcPr>
            <w:tcW w:w="1253" w:type="dxa"/>
            <w:tcBorders>
              <w:top w:val="single" w:sz="4" w:space="0" w:color="auto"/>
              <w:left w:val="single" w:sz="4" w:space="0" w:color="auto"/>
              <w:bottom w:val="single" w:sz="4" w:space="0" w:color="auto"/>
              <w:right w:val="single" w:sz="4" w:space="0" w:color="auto"/>
            </w:tcBorders>
          </w:tcPr>
          <w:p w:rsidR="008577FA" w:rsidRPr="002D00E1" w:rsidRDefault="008577FA" w:rsidP="008577FA">
            <w:pPr>
              <w:tabs>
                <w:tab w:val="center" w:pos="514"/>
              </w:tabs>
              <w:autoSpaceDE w:val="0"/>
              <w:autoSpaceDN w:val="0"/>
              <w:jc w:val="center"/>
              <w:rPr>
                <w:rFonts w:ascii="Segoe UI" w:hAnsi="Segoe UI" w:cs="Segoe UI"/>
                <w:sz w:val="20"/>
                <w:szCs w:val="20"/>
              </w:rPr>
            </w:pPr>
            <w:r w:rsidRPr="002D00E1">
              <w:rPr>
                <w:rFonts w:ascii="Segoe UI" w:hAnsi="Segoe UI" w:cs="Segoe UI"/>
                <w:sz w:val="20"/>
                <w:szCs w:val="20"/>
              </w:rPr>
              <w:t>8 335 000</w:t>
            </w:r>
          </w:p>
          <w:p w:rsidR="008577FA" w:rsidRPr="002D00E1" w:rsidRDefault="008577FA" w:rsidP="008577FA">
            <w:pPr>
              <w:tabs>
                <w:tab w:val="center" w:pos="514"/>
              </w:tabs>
              <w:autoSpaceDE w:val="0"/>
              <w:autoSpaceDN w:val="0"/>
              <w:spacing w:before="40"/>
              <w:jc w:val="center"/>
              <w:rPr>
                <w:rFonts w:ascii="Segoe UI" w:hAnsi="Segoe UI" w:cs="Segoe UI"/>
                <w:color w:val="FF0000"/>
                <w:sz w:val="20"/>
                <w:szCs w:val="20"/>
              </w:rPr>
            </w:pPr>
            <w:r w:rsidRPr="002D00E1">
              <w:rPr>
                <w:rFonts w:ascii="Segoe UI" w:hAnsi="Segoe UI" w:cs="Segoe UI"/>
                <w:sz w:val="20"/>
                <w:szCs w:val="20"/>
              </w:rPr>
              <w:t>(</w:t>
            </w:r>
            <w:r w:rsidRPr="002D00E1">
              <w:rPr>
                <w:rFonts w:ascii="Segoe UI" w:hAnsi="Segoe UI" w:cs="Segoe UI"/>
                <w:color w:val="FF0000"/>
                <w:sz w:val="20"/>
                <w:szCs w:val="20"/>
              </w:rPr>
              <w:t>-21 %</w:t>
            </w:r>
            <w:r w:rsidRPr="002D00E1">
              <w:rPr>
                <w:rFonts w:ascii="Segoe UI" w:hAnsi="Segoe UI" w:cs="Segoe UI"/>
                <w:sz w:val="20"/>
                <w:szCs w:val="20"/>
              </w:rPr>
              <w:t>)</w:t>
            </w:r>
          </w:p>
        </w:tc>
        <w:tc>
          <w:tcPr>
            <w:tcW w:w="1253" w:type="dxa"/>
            <w:tcBorders>
              <w:top w:val="single" w:sz="4" w:space="0" w:color="auto"/>
              <w:left w:val="single" w:sz="4" w:space="0" w:color="auto"/>
              <w:bottom w:val="single" w:sz="4" w:space="0" w:color="auto"/>
              <w:right w:val="single" w:sz="4" w:space="0" w:color="auto"/>
            </w:tcBorders>
          </w:tcPr>
          <w:p w:rsidR="008577FA" w:rsidRPr="008577FA" w:rsidRDefault="008577FA" w:rsidP="008577FA">
            <w:pPr>
              <w:tabs>
                <w:tab w:val="center" w:pos="514"/>
              </w:tabs>
              <w:autoSpaceDE w:val="0"/>
              <w:autoSpaceDN w:val="0"/>
              <w:jc w:val="center"/>
              <w:rPr>
                <w:rFonts w:ascii="Segoe UI" w:hAnsi="Segoe UI" w:cs="Segoe UI"/>
                <w:sz w:val="20"/>
                <w:szCs w:val="20"/>
              </w:rPr>
            </w:pPr>
            <w:r w:rsidRPr="008577FA">
              <w:rPr>
                <w:rFonts w:ascii="Segoe UI" w:hAnsi="Segoe UI" w:cs="Segoe UI"/>
                <w:sz w:val="20"/>
                <w:szCs w:val="20"/>
              </w:rPr>
              <w:t>8 460 000</w:t>
            </w:r>
          </w:p>
          <w:p w:rsidR="008577FA" w:rsidRPr="008577FA" w:rsidRDefault="008577FA" w:rsidP="008577FA">
            <w:pPr>
              <w:tabs>
                <w:tab w:val="center" w:pos="514"/>
              </w:tabs>
              <w:autoSpaceDE w:val="0"/>
              <w:autoSpaceDN w:val="0"/>
              <w:spacing w:before="40"/>
              <w:jc w:val="center"/>
              <w:rPr>
                <w:rFonts w:ascii="Segoe UI" w:hAnsi="Segoe UI" w:cs="Segoe UI"/>
                <w:color w:val="FF0000"/>
                <w:sz w:val="20"/>
                <w:szCs w:val="20"/>
              </w:rPr>
            </w:pPr>
            <w:r w:rsidRPr="008577FA">
              <w:rPr>
                <w:rFonts w:ascii="Segoe UI" w:hAnsi="Segoe UI" w:cs="Segoe UI"/>
                <w:sz w:val="20"/>
                <w:szCs w:val="20"/>
              </w:rPr>
              <w:t>(</w:t>
            </w:r>
            <w:r w:rsidRPr="008577FA">
              <w:rPr>
                <w:rFonts w:ascii="Segoe UI" w:hAnsi="Segoe UI" w:cs="Segoe UI"/>
                <w:color w:val="FF0000"/>
                <w:sz w:val="20"/>
                <w:szCs w:val="20"/>
              </w:rPr>
              <w:t>-22 %</w:t>
            </w:r>
            <w:r w:rsidRPr="008577FA">
              <w:rPr>
                <w:rFonts w:ascii="Segoe UI" w:hAnsi="Segoe UI" w:cs="Segoe UI"/>
                <w:sz w:val="20"/>
                <w:szCs w:val="20"/>
              </w:rPr>
              <w:t>)</w:t>
            </w:r>
          </w:p>
        </w:tc>
        <w:tc>
          <w:tcPr>
            <w:tcW w:w="125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8577FA" w:rsidRPr="008577FA" w:rsidRDefault="008577FA" w:rsidP="008577FA">
            <w:pPr>
              <w:autoSpaceDE w:val="0"/>
              <w:autoSpaceDN w:val="0"/>
              <w:jc w:val="center"/>
              <w:rPr>
                <w:rFonts w:ascii="Segoe UI" w:hAnsi="Segoe UI" w:cs="Segoe UI"/>
                <w:b/>
                <w:sz w:val="20"/>
                <w:szCs w:val="20"/>
              </w:rPr>
            </w:pPr>
            <w:r w:rsidRPr="008577FA">
              <w:rPr>
                <w:rFonts w:ascii="Segoe UI" w:hAnsi="Segoe UI" w:cs="Segoe UI"/>
                <w:b/>
                <w:sz w:val="20"/>
                <w:szCs w:val="20"/>
              </w:rPr>
              <w:t>9 473 000</w:t>
            </w:r>
          </w:p>
          <w:p w:rsidR="008577FA" w:rsidRPr="008577FA" w:rsidRDefault="008577FA" w:rsidP="008577FA">
            <w:pPr>
              <w:autoSpaceDE w:val="0"/>
              <w:autoSpaceDN w:val="0"/>
              <w:spacing w:before="40"/>
              <w:jc w:val="center"/>
              <w:rPr>
                <w:rFonts w:ascii="Segoe UI" w:hAnsi="Segoe UI" w:cs="Segoe UI"/>
                <w:b/>
                <w:sz w:val="20"/>
                <w:szCs w:val="20"/>
              </w:rPr>
            </w:pPr>
            <w:r w:rsidRPr="008577FA">
              <w:rPr>
                <w:rFonts w:ascii="Segoe UI" w:hAnsi="Segoe UI" w:cs="Segoe UI"/>
                <w:b/>
                <w:color w:val="000000" w:themeColor="text1"/>
                <w:sz w:val="20"/>
                <w:szCs w:val="20"/>
              </w:rPr>
              <w:t>(</w:t>
            </w:r>
            <w:r w:rsidRPr="008577FA">
              <w:rPr>
                <w:rFonts w:ascii="Segoe UI" w:hAnsi="Segoe UI" w:cs="Segoe UI"/>
                <w:b/>
                <w:color w:val="FF0000"/>
                <w:sz w:val="20"/>
                <w:szCs w:val="20"/>
              </w:rPr>
              <w:t>-15 %</w:t>
            </w:r>
            <w:r w:rsidRPr="008577FA">
              <w:rPr>
                <w:rFonts w:ascii="Segoe UI" w:hAnsi="Segoe UI" w:cs="Segoe UI"/>
                <w:b/>
                <w:color w:val="000000" w:themeColor="text1"/>
                <w:sz w:val="20"/>
                <w:szCs w:val="20"/>
              </w:rPr>
              <w:t>)</w:t>
            </w:r>
          </w:p>
        </w:tc>
      </w:tr>
    </w:tbl>
    <w:p w:rsidR="002D00E1" w:rsidRPr="002C3CD4" w:rsidRDefault="002D00E1" w:rsidP="002D00E1">
      <w:pPr>
        <w:spacing w:before="120" w:after="120" w:line="240" w:lineRule="auto"/>
        <w:jc w:val="both"/>
        <w:rPr>
          <w:rFonts w:ascii="Segoe UI" w:eastAsia="SimSun" w:hAnsi="Segoe UI" w:cs="Segoe UI"/>
          <w:color w:val="767171" w:themeColor="background2" w:themeShade="80"/>
          <w:sz w:val="18"/>
          <w:lang w:eastAsia="ja-JP"/>
        </w:rPr>
      </w:pPr>
      <w:r w:rsidRPr="002D00E1">
        <w:rPr>
          <w:rFonts w:ascii="Segoe UI" w:eastAsia="SimSun" w:hAnsi="Segoe UI" w:cs="Segoe UI"/>
          <w:i/>
          <w:color w:val="767171" w:themeColor="background2" w:themeShade="80"/>
          <w:sz w:val="18"/>
          <w:lang w:eastAsia="ja-JP"/>
        </w:rPr>
        <w:t>NB : les moyennes hebdomadaires sont calculées sur sept jours ; elles comprennent donc les jours de fréquentation plus limitée du week-end.</w:t>
      </w:r>
      <w:r w:rsidRPr="00AD4885">
        <w:rPr>
          <w:rFonts w:ascii="Segoe UI" w:eastAsia="SimSun" w:hAnsi="Segoe UI" w:cs="Segoe UI"/>
          <w:color w:val="767171" w:themeColor="background2" w:themeShade="80"/>
          <w:sz w:val="18"/>
          <w:lang w:eastAsia="ja-JP"/>
        </w:rPr>
        <w:t xml:space="preserve"> </w:t>
      </w:r>
    </w:p>
    <w:p w:rsidR="007F799E" w:rsidRPr="0088772B" w:rsidRDefault="007F799E" w:rsidP="007F799E">
      <w:pPr>
        <w:spacing w:before="120" w:after="120" w:line="240" w:lineRule="auto"/>
        <w:rPr>
          <w:rFonts w:ascii="Segoe UI" w:eastAsiaTheme="minorHAnsi" w:hAnsi="Segoe UI" w:cs="Segoe UI"/>
          <w:b/>
          <w:color w:val="006CE5"/>
          <w:u w:val="single"/>
        </w:rPr>
      </w:pPr>
      <w:r w:rsidRPr="0088772B">
        <w:rPr>
          <w:rFonts w:ascii="Segoe UI" w:eastAsiaTheme="minorHAnsi" w:hAnsi="Segoe UI" w:cs="Segoe UI"/>
          <w:b/>
          <w:color w:val="006CE5"/>
          <w:u w:val="single"/>
        </w:rPr>
        <w:t>Autres indicateurs de reprise de l’activité</w:t>
      </w:r>
    </w:p>
    <w:tbl>
      <w:tblPr>
        <w:tblStyle w:val="Grilledutableau"/>
        <w:tblW w:w="5006" w:type="pct"/>
        <w:tblInd w:w="-5" w:type="dxa"/>
        <w:tblLook w:val="04A0" w:firstRow="1" w:lastRow="0" w:firstColumn="1" w:lastColumn="0" w:noHBand="0" w:noVBand="1"/>
      </w:tblPr>
      <w:tblGrid>
        <w:gridCol w:w="2779"/>
        <w:gridCol w:w="1256"/>
        <w:gridCol w:w="1258"/>
        <w:gridCol w:w="1258"/>
        <w:gridCol w:w="1258"/>
        <w:gridCol w:w="1254"/>
      </w:tblGrid>
      <w:tr w:rsidR="001005EC" w:rsidRPr="00232609" w:rsidTr="003C1873">
        <w:tc>
          <w:tcPr>
            <w:tcW w:w="2779" w:type="dxa"/>
            <w:tcBorders>
              <w:top w:val="single" w:sz="8" w:space="0" w:color="auto"/>
              <w:left w:val="single" w:sz="8" w:space="0" w:color="auto"/>
              <w:bottom w:val="single" w:sz="8" w:space="0" w:color="auto"/>
              <w:right w:val="single" w:sz="8" w:space="0" w:color="auto"/>
            </w:tcBorders>
          </w:tcPr>
          <w:p w:rsidR="001005EC" w:rsidRPr="00232609" w:rsidRDefault="001005EC" w:rsidP="001005EC">
            <w:pPr>
              <w:jc w:val="center"/>
              <w:rPr>
                <w:rFonts w:ascii="Segoe UI" w:hAnsi="Segoe UI" w:cs="Segoe UI"/>
                <w:sz w:val="20"/>
                <w:szCs w:val="20"/>
              </w:rPr>
            </w:pPr>
            <w:r w:rsidRPr="00232609">
              <w:rPr>
                <w:rFonts w:ascii="Segoe UI" w:hAnsi="Segoe UI" w:cs="Segoe UI"/>
                <w:color w:val="006CE5"/>
                <w:sz w:val="20"/>
                <w:szCs w:val="20"/>
              </w:rPr>
              <w:t>Indicateur</w:t>
            </w:r>
          </w:p>
        </w:tc>
        <w:tc>
          <w:tcPr>
            <w:tcW w:w="1256" w:type="dxa"/>
            <w:tcBorders>
              <w:top w:val="single" w:sz="8" w:space="0" w:color="auto"/>
              <w:left w:val="nil"/>
              <w:bottom w:val="single" w:sz="8" w:space="0" w:color="auto"/>
              <w:right w:val="single" w:sz="8" w:space="0" w:color="auto"/>
            </w:tcBorders>
          </w:tcPr>
          <w:p w:rsidR="001005EC" w:rsidRDefault="001005EC" w:rsidP="001005EC">
            <w:pPr>
              <w:jc w:val="center"/>
            </w:pPr>
            <w:r>
              <w:rPr>
                <w:rFonts w:ascii="Segoe UI" w:hAnsi="Segoe UI" w:cs="Segoe UI"/>
                <w:color w:val="006CE5"/>
                <w:sz w:val="20"/>
                <w:szCs w:val="20"/>
              </w:rPr>
              <w:t>13 juin</w:t>
            </w:r>
          </w:p>
        </w:tc>
        <w:tc>
          <w:tcPr>
            <w:tcW w:w="1258" w:type="dxa"/>
            <w:tcBorders>
              <w:top w:val="single" w:sz="8" w:space="0" w:color="auto"/>
              <w:left w:val="nil"/>
              <w:bottom w:val="single" w:sz="8" w:space="0" w:color="auto"/>
              <w:right w:val="single" w:sz="8" w:space="0" w:color="auto"/>
            </w:tcBorders>
          </w:tcPr>
          <w:p w:rsidR="001005EC" w:rsidRDefault="001005EC" w:rsidP="001005EC">
            <w:pPr>
              <w:jc w:val="center"/>
            </w:pPr>
            <w:r>
              <w:rPr>
                <w:rFonts w:ascii="Segoe UI" w:hAnsi="Segoe UI" w:cs="Segoe UI"/>
                <w:color w:val="006CE5"/>
                <w:sz w:val="20"/>
                <w:szCs w:val="20"/>
              </w:rPr>
              <w:t>14 juin</w:t>
            </w:r>
          </w:p>
        </w:tc>
        <w:tc>
          <w:tcPr>
            <w:tcW w:w="1258" w:type="dxa"/>
            <w:tcBorders>
              <w:top w:val="single" w:sz="8" w:space="0" w:color="auto"/>
              <w:left w:val="nil"/>
              <w:bottom w:val="single" w:sz="8" w:space="0" w:color="auto"/>
              <w:right w:val="single" w:sz="8" w:space="0" w:color="auto"/>
            </w:tcBorders>
          </w:tcPr>
          <w:p w:rsidR="001005EC" w:rsidRDefault="001005EC" w:rsidP="001005EC">
            <w:pPr>
              <w:jc w:val="center"/>
            </w:pPr>
            <w:r>
              <w:rPr>
                <w:rFonts w:ascii="Segoe UI" w:hAnsi="Segoe UI" w:cs="Segoe UI"/>
                <w:color w:val="006CE5"/>
                <w:sz w:val="20"/>
                <w:szCs w:val="20"/>
              </w:rPr>
              <w:t>15 juin</w:t>
            </w:r>
          </w:p>
        </w:tc>
        <w:tc>
          <w:tcPr>
            <w:tcW w:w="1258" w:type="dxa"/>
            <w:tcBorders>
              <w:top w:val="single" w:sz="8" w:space="0" w:color="auto"/>
              <w:left w:val="nil"/>
              <w:bottom w:val="single" w:sz="8" w:space="0" w:color="auto"/>
              <w:right w:val="single" w:sz="8" w:space="0" w:color="auto"/>
            </w:tcBorders>
          </w:tcPr>
          <w:p w:rsidR="001005EC" w:rsidRDefault="001005EC" w:rsidP="001005EC">
            <w:pPr>
              <w:jc w:val="center"/>
            </w:pPr>
            <w:r>
              <w:rPr>
                <w:rFonts w:ascii="Segoe UI" w:hAnsi="Segoe UI" w:cs="Segoe UI"/>
                <w:color w:val="006CE5"/>
                <w:sz w:val="20"/>
                <w:szCs w:val="20"/>
              </w:rPr>
              <w:t>16 juin</w:t>
            </w:r>
          </w:p>
        </w:tc>
        <w:tc>
          <w:tcPr>
            <w:tcW w:w="1254" w:type="dxa"/>
            <w:tcBorders>
              <w:top w:val="single" w:sz="8" w:space="0" w:color="auto"/>
              <w:left w:val="nil"/>
              <w:bottom w:val="single" w:sz="8" w:space="0" w:color="auto"/>
              <w:right w:val="single" w:sz="8" w:space="0" w:color="auto"/>
            </w:tcBorders>
            <w:shd w:val="clear" w:color="auto" w:fill="DEEAF6"/>
          </w:tcPr>
          <w:p w:rsidR="001005EC" w:rsidRDefault="001005EC" w:rsidP="001005EC">
            <w:pPr>
              <w:jc w:val="center"/>
              <w:rPr>
                <w:b/>
                <w:bCs/>
              </w:rPr>
            </w:pPr>
            <w:r>
              <w:rPr>
                <w:rFonts w:ascii="Segoe UI" w:hAnsi="Segoe UI" w:cs="Segoe UI"/>
                <w:b/>
                <w:bCs/>
                <w:color w:val="006CE5"/>
                <w:sz w:val="20"/>
                <w:szCs w:val="20"/>
              </w:rPr>
              <w:t>17 juin</w:t>
            </w:r>
          </w:p>
        </w:tc>
      </w:tr>
      <w:tr w:rsidR="001005EC" w:rsidRPr="00232609" w:rsidTr="003C1873">
        <w:tc>
          <w:tcPr>
            <w:tcW w:w="2779" w:type="dxa"/>
            <w:tcBorders>
              <w:top w:val="nil"/>
              <w:left w:val="single" w:sz="8" w:space="0" w:color="auto"/>
              <w:bottom w:val="single" w:sz="8" w:space="0" w:color="auto"/>
              <w:right w:val="single" w:sz="8" w:space="0" w:color="auto"/>
            </w:tcBorders>
          </w:tcPr>
          <w:p w:rsidR="001005EC" w:rsidRPr="00232609" w:rsidRDefault="001005EC" w:rsidP="001005EC">
            <w:pPr>
              <w:rPr>
                <w:rFonts w:ascii="Segoe UI" w:hAnsi="Segoe UI" w:cs="Segoe UI"/>
                <w:sz w:val="19"/>
                <w:szCs w:val="19"/>
              </w:rPr>
            </w:pPr>
            <w:r w:rsidRPr="00232609">
              <w:rPr>
                <w:rFonts w:ascii="Segoe UI" w:hAnsi="Segoe UI" w:cs="Segoe UI"/>
                <w:sz w:val="19"/>
                <w:szCs w:val="19"/>
              </w:rPr>
              <w:t>Consommation de charbon par six grands groupes de production électrique (1000 t.)</w:t>
            </w:r>
          </w:p>
        </w:tc>
        <w:tc>
          <w:tcPr>
            <w:tcW w:w="1256" w:type="dxa"/>
            <w:tcBorders>
              <w:top w:val="nil"/>
              <w:left w:val="nil"/>
              <w:bottom w:val="single" w:sz="8" w:space="0" w:color="auto"/>
              <w:right w:val="single" w:sz="8" w:space="0" w:color="auto"/>
            </w:tcBorders>
          </w:tcPr>
          <w:p w:rsidR="001005EC" w:rsidRDefault="001005EC" w:rsidP="001005EC">
            <w:pPr>
              <w:jc w:val="center"/>
              <w:rPr>
                <w:rFonts w:ascii="Segoe UI" w:hAnsi="Segoe UI" w:cs="Segoe UI"/>
                <w:sz w:val="20"/>
                <w:szCs w:val="20"/>
              </w:rPr>
            </w:pPr>
            <w:r>
              <w:rPr>
                <w:rFonts w:ascii="Segoe UI" w:hAnsi="Segoe UI" w:cs="Segoe UI"/>
                <w:sz w:val="20"/>
                <w:szCs w:val="20"/>
              </w:rPr>
              <w:t>676,5</w:t>
            </w:r>
          </w:p>
          <w:p w:rsidR="001005EC" w:rsidRDefault="001005EC" w:rsidP="001005EC">
            <w:pPr>
              <w:jc w:val="center"/>
              <w:rPr>
                <w:rFonts w:ascii="Segoe UI" w:hAnsi="Segoe UI" w:cs="Segoe UI"/>
                <w:i/>
                <w:iCs/>
                <w:sz w:val="20"/>
                <w:szCs w:val="20"/>
              </w:rPr>
            </w:pPr>
            <w:r>
              <w:rPr>
                <w:rFonts w:ascii="Segoe UI" w:hAnsi="Segoe UI" w:cs="Segoe UI"/>
                <w:sz w:val="20"/>
                <w:szCs w:val="20"/>
              </w:rPr>
              <w:t>(</w:t>
            </w:r>
            <w:r>
              <w:rPr>
                <w:rFonts w:ascii="Segoe UI" w:hAnsi="Segoe UI" w:cs="Segoe UI"/>
                <w:color w:val="00B050"/>
                <w:sz w:val="20"/>
                <w:szCs w:val="20"/>
              </w:rPr>
              <w:t>+4%</w:t>
            </w:r>
            <w:r>
              <w:rPr>
                <w:rFonts w:ascii="Segoe UI" w:hAnsi="Segoe UI" w:cs="Segoe UI"/>
                <w:sz w:val="20"/>
                <w:szCs w:val="20"/>
              </w:rPr>
              <w:t>)</w:t>
            </w:r>
          </w:p>
        </w:tc>
        <w:tc>
          <w:tcPr>
            <w:tcW w:w="1258" w:type="dxa"/>
            <w:tcBorders>
              <w:top w:val="nil"/>
              <w:left w:val="nil"/>
              <w:bottom w:val="single" w:sz="8" w:space="0" w:color="auto"/>
              <w:right w:val="single" w:sz="8" w:space="0" w:color="auto"/>
            </w:tcBorders>
          </w:tcPr>
          <w:p w:rsidR="001005EC" w:rsidRDefault="001005EC" w:rsidP="001005EC">
            <w:pPr>
              <w:jc w:val="center"/>
              <w:rPr>
                <w:rFonts w:ascii="Segoe UI" w:hAnsi="Segoe UI" w:cs="Segoe UI"/>
                <w:sz w:val="20"/>
                <w:szCs w:val="20"/>
              </w:rPr>
            </w:pPr>
            <w:r>
              <w:rPr>
                <w:rFonts w:ascii="Segoe UI" w:hAnsi="Segoe UI" w:cs="Segoe UI"/>
                <w:sz w:val="20"/>
                <w:szCs w:val="20"/>
              </w:rPr>
              <w:t>679,8</w:t>
            </w:r>
          </w:p>
          <w:p w:rsidR="001005EC" w:rsidRDefault="001005EC" w:rsidP="001005EC">
            <w:pPr>
              <w:jc w:val="center"/>
              <w:rPr>
                <w:rFonts w:ascii="Segoe UI" w:hAnsi="Segoe UI" w:cs="Segoe UI"/>
                <w:i/>
                <w:iCs/>
                <w:sz w:val="20"/>
                <w:szCs w:val="20"/>
              </w:rPr>
            </w:pPr>
            <w:r>
              <w:rPr>
                <w:rFonts w:ascii="Segoe UI" w:hAnsi="Segoe UI" w:cs="Segoe UI"/>
                <w:sz w:val="20"/>
                <w:szCs w:val="20"/>
              </w:rPr>
              <w:t>(</w:t>
            </w:r>
            <w:r>
              <w:rPr>
                <w:rFonts w:ascii="Segoe UI" w:hAnsi="Segoe UI" w:cs="Segoe UI"/>
                <w:color w:val="00B050"/>
                <w:sz w:val="20"/>
                <w:szCs w:val="20"/>
              </w:rPr>
              <w:t>+6%</w:t>
            </w:r>
            <w:r>
              <w:rPr>
                <w:rFonts w:ascii="Segoe UI" w:hAnsi="Segoe UI" w:cs="Segoe UI"/>
                <w:sz w:val="20"/>
                <w:szCs w:val="20"/>
              </w:rPr>
              <w:t>)</w:t>
            </w:r>
          </w:p>
        </w:tc>
        <w:tc>
          <w:tcPr>
            <w:tcW w:w="1258" w:type="dxa"/>
            <w:tcBorders>
              <w:top w:val="nil"/>
              <w:left w:val="nil"/>
              <w:bottom w:val="single" w:sz="8" w:space="0" w:color="auto"/>
              <w:right w:val="single" w:sz="8" w:space="0" w:color="auto"/>
            </w:tcBorders>
          </w:tcPr>
          <w:p w:rsidR="001005EC" w:rsidRDefault="001005EC" w:rsidP="001005EC">
            <w:pPr>
              <w:jc w:val="center"/>
              <w:rPr>
                <w:rFonts w:ascii="Segoe UI" w:hAnsi="Segoe UI" w:cs="Segoe UI"/>
                <w:sz w:val="20"/>
                <w:szCs w:val="20"/>
              </w:rPr>
            </w:pPr>
            <w:r>
              <w:rPr>
                <w:rFonts w:ascii="Segoe UI" w:hAnsi="Segoe UI" w:cs="Segoe UI"/>
                <w:sz w:val="20"/>
                <w:szCs w:val="20"/>
              </w:rPr>
              <w:t>670,6</w:t>
            </w:r>
          </w:p>
          <w:p w:rsidR="001005EC" w:rsidRDefault="001005EC" w:rsidP="001005EC">
            <w:pPr>
              <w:jc w:val="center"/>
              <w:rPr>
                <w:rFonts w:ascii="Segoe UI" w:hAnsi="Segoe UI" w:cs="Segoe UI"/>
                <w:i/>
                <w:iCs/>
                <w:sz w:val="20"/>
                <w:szCs w:val="20"/>
              </w:rPr>
            </w:pPr>
            <w:r>
              <w:rPr>
                <w:rFonts w:ascii="Segoe UI" w:hAnsi="Segoe UI" w:cs="Segoe UI"/>
                <w:sz w:val="20"/>
                <w:szCs w:val="20"/>
              </w:rPr>
              <w:t>(</w:t>
            </w:r>
            <w:r>
              <w:rPr>
                <w:rFonts w:ascii="Segoe UI" w:hAnsi="Segoe UI" w:cs="Segoe UI"/>
                <w:color w:val="00B050"/>
                <w:sz w:val="20"/>
                <w:szCs w:val="20"/>
              </w:rPr>
              <w:t>+7%</w:t>
            </w:r>
            <w:r>
              <w:rPr>
                <w:rFonts w:ascii="Segoe UI" w:hAnsi="Segoe UI" w:cs="Segoe UI"/>
                <w:sz w:val="20"/>
                <w:szCs w:val="20"/>
              </w:rPr>
              <w:t>)</w:t>
            </w:r>
          </w:p>
        </w:tc>
        <w:tc>
          <w:tcPr>
            <w:tcW w:w="1258" w:type="dxa"/>
            <w:tcBorders>
              <w:top w:val="nil"/>
              <w:left w:val="nil"/>
              <w:bottom w:val="single" w:sz="8" w:space="0" w:color="auto"/>
              <w:right w:val="single" w:sz="8" w:space="0" w:color="auto"/>
            </w:tcBorders>
          </w:tcPr>
          <w:p w:rsidR="001005EC" w:rsidRDefault="001005EC" w:rsidP="001005EC">
            <w:pPr>
              <w:jc w:val="center"/>
              <w:rPr>
                <w:rFonts w:ascii="Segoe UI" w:hAnsi="Segoe UI" w:cs="Segoe UI"/>
                <w:sz w:val="20"/>
                <w:szCs w:val="20"/>
              </w:rPr>
            </w:pPr>
            <w:r>
              <w:rPr>
                <w:rFonts w:ascii="Segoe UI" w:hAnsi="Segoe UI" w:cs="Segoe UI"/>
                <w:sz w:val="20"/>
                <w:szCs w:val="20"/>
              </w:rPr>
              <w:t>665,9</w:t>
            </w:r>
          </w:p>
          <w:p w:rsidR="001005EC" w:rsidRDefault="001005EC" w:rsidP="001005EC">
            <w:pPr>
              <w:jc w:val="center"/>
              <w:rPr>
                <w:rFonts w:ascii="Segoe UI" w:hAnsi="Segoe UI" w:cs="Segoe UI"/>
                <w:i/>
                <w:iCs/>
                <w:sz w:val="20"/>
                <w:szCs w:val="20"/>
              </w:rPr>
            </w:pPr>
            <w:r>
              <w:rPr>
                <w:rFonts w:ascii="Segoe UI" w:hAnsi="Segoe UI" w:cs="Segoe UI"/>
                <w:sz w:val="20"/>
                <w:szCs w:val="20"/>
              </w:rPr>
              <w:t>(</w:t>
            </w:r>
            <w:r>
              <w:rPr>
                <w:rFonts w:ascii="Segoe UI" w:hAnsi="Segoe UI" w:cs="Segoe UI"/>
                <w:color w:val="00B050"/>
                <w:sz w:val="20"/>
                <w:szCs w:val="20"/>
              </w:rPr>
              <w:t>+8%</w:t>
            </w:r>
            <w:r>
              <w:rPr>
                <w:rFonts w:ascii="Segoe UI" w:hAnsi="Segoe UI" w:cs="Segoe UI"/>
                <w:sz w:val="20"/>
                <w:szCs w:val="20"/>
              </w:rPr>
              <w:t>)</w:t>
            </w:r>
          </w:p>
        </w:tc>
        <w:tc>
          <w:tcPr>
            <w:tcW w:w="1254" w:type="dxa"/>
            <w:tcBorders>
              <w:top w:val="nil"/>
              <w:left w:val="nil"/>
              <w:bottom w:val="single" w:sz="8" w:space="0" w:color="auto"/>
              <w:right w:val="single" w:sz="8" w:space="0" w:color="auto"/>
            </w:tcBorders>
            <w:shd w:val="clear" w:color="auto" w:fill="DEEAF6"/>
          </w:tcPr>
          <w:p w:rsidR="001005EC" w:rsidRDefault="001005EC" w:rsidP="001005EC">
            <w:pPr>
              <w:jc w:val="center"/>
              <w:rPr>
                <w:rFonts w:ascii="Segoe UI" w:hAnsi="Segoe UI" w:cs="Segoe UI"/>
                <w:b/>
                <w:bCs/>
                <w:sz w:val="20"/>
                <w:szCs w:val="20"/>
              </w:rPr>
            </w:pPr>
            <w:r>
              <w:rPr>
                <w:rFonts w:ascii="Segoe UI" w:hAnsi="Segoe UI" w:cs="Segoe UI"/>
                <w:b/>
                <w:bCs/>
                <w:sz w:val="20"/>
                <w:szCs w:val="20"/>
              </w:rPr>
              <w:t>679,2</w:t>
            </w:r>
          </w:p>
          <w:p w:rsidR="001005EC" w:rsidRDefault="001005EC" w:rsidP="001005EC">
            <w:pPr>
              <w:jc w:val="center"/>
              <w:rPr>
                <w:rFonts w:ascii="Segoe UI" w:hAnsi="Segoe UI" w:cs="Segoe UI"/>
                <w:b/>
                <w:bCs/>
                <w:i/>
                <w:iCs/>
                <w:sz w:val="20"/>
                <w:szCs w:val="20"/>
              </w:rPr>
            </w:pPr>
            <w:r>
              <w:rPr>
                <w:rFonts w:ascii="Segoe UI" w:hAnsi="Segoe UI" w:cs="Segoe UI"/>
                <w:b/>
                <w:bCs/>
                <w:sz w:val="20"/>
                <w:szCs w:val="20"/>
              </w:rPr>
              <w:t>(</w:t>
            </w:r>
            <w:r>
              <w:rPr>
                <w:rFonts w:ascii="Segoe UI" w:hAnsi="Segoe UI" w:cs="Segoe UI"/>
                <w:b/>
                <w:bCs/>
                <w:color w:val="00B050"/>
                <w:sz w:val="20"/>
                <w:szCs w:val="20"/>
              </w:rPr>
              <w:t>+8%</w:t>
            </w:r>
            <w:r>
              <w:rPr>
                <w:rFonts w:ascii="Segoe UI" w:hAnsi="Segoe UI" w:cs="Segoe UI"/>
                <w:b/>
                <w:bCs/>
                <w:sz w:val="20"/>
                <w:szCs w:val="20"/>
              </w:rPr>
              <w:t>)</w:t>
            </w:r>
          </w:p>
        </w:tc>
      </w:tr>
      <w:tr w:rsidR="001005EC" w:rsidRPr="00573780" w:rsidTr="003C1873">
        <w:trPr>
          <w:trHeight w:val="269"/>
        </w:trPr>
        <w:tc>
          <w:tcPr>
            <w:tcW w:w="2779" w:type="dxa"/>
            <w:tcBorders>
              <w:top w:val="nil"/>
              <w:left w:val="single" w:sz="8" w:space="0" w:color="auto"/>
              <w:bottom w:val="single" w:sz="8" w:space="0" w:color="auto"/>
              <w:right w:val="single" w:sz="8" w:space="0" w:color="auto"/>
            </w:tcBorders>
          </w:tcPr>
          <w:p w:rsidR="001005EC" w:rsidRPr="00232609" w:rsidRDefault="001005EC" w:rsidP="001005EC">
            <w:pPr>
              <w:rPr>
                <w:rFonts w:ascii="Segoe UI" w:hAnsi="Segoe UI" w:cs="Segoe UI"/>
                <w:sz w:val="19"/>
                <w:szCs w:val="19"/>
              </w:rPr>
            </w:pPr>
            <w:r w:rsidRPr="00232609">
              <w:rPr>
                <w:rFonts w:ascii="Segoe UI" w:hAnsi="Segoe UI" w:cs="Segoe UI"/>
                <w:sz w:val="19"/>
                <w:szCs w:val="19"/>
              </w:rPr>
              <w:t>Ventes immobilières dans 32 grandes villes (1000 m</w:t>
            </w:r>
            <w:r w:rsidRPr="00232609">
              <w:rPr>
                <w:rFonts w:ascii="Segoe UI" w:hAnsi="Segoe UI" w:cs="Segoe UI"/>
                <w:sz w:val="19"/>
                <w:szCs w:val="19"/>
                <w:vertAlign w:val="superscript"/>
              </w:rPr>
              <w:t>2</w:t>
            </w:r>
            <w:r w:rsidRPr="00232609">
              <w:rPr>
                <w:rFonts w:ascii="Segoe UI" w:hAnsi="Segoe UI" w:cs="Segoe UI"/>
                <w:sz w:val="19"/>
                <w:szCs w:val="19"/>
              </w:rPr>
              <w:t xml:space="preserve">)  </w:t>
            </w:r>
          </w:p>
        </w:tc>
        <w:tc>
          <w:tcPr>
            <w:tcW w:w="1256" w:type="dxa"/>
            <w:tcBorders>
              <w:top w:val="nil"/>
              <w:left w:val="nil"/>
              <w:bottom w:val="single" w:sz="8" w:space="0" w:color="auto"/>
              <w:right w:val="single" w:sz="8" w:space="0" w:color="auto"/>
            </w:tcBorders>
          </w:tcPr>
          <w:p w:rsidR="001005EC" w:rsidRDefault="001005EC" w:rsidP="001005EC">
            <w:pPr>
              <w:jc w:val="center"/>
              <w:rPr>
                <w:rFonts w:ascii="Segoe UI" w:hAnsi="Segoe UI" w:cs="Segoe UI"/>
                <w:sz w:val="20"/>
                <w:szCs w:val="20"/>
              </w:rPr>
            </w:pPr>
            <w:r>
              <w:rPr>
                <w:rFonts w:ascii="Segoe UI" w:hAnsi="Segoe UI" w:cs="Segoe UI"/>
                <w:sz w:val="20"/>
                <w:szCs w:val="20"/>
              </w:rPr>
              <w:t>501,2</w:t>
            </w:r>
          </w:p>
          <w:p w:rsidR="001005EC" w:rsidRDefault="001005EC" w:rsidP="001005EC">
            <w:pPr>
              <w:jc w:val="center"/>
              <w:rPr>
                <w:rFonts w:ascii="Segoe UI" w:hAnsi="Segoe UI" w:cs="Segoe UI"/>
                <w:i/>
                <w:iCs/>
                <w:sz w:val="20"/>
                <w:szCs w:val="20"/>
              </w:rPr>
            </w:pPr>
            <w:r>
              <w:rPr>
                <w:rFonts w:ascii="Segoe UI" w:hAnsi="Segoe UI" w:cs="Segoe UI"/>
                <w:sz w:val="20"/>
                <w:szCs w:val="20"/>
              </w:rPr>
              <w:t>(</w:t>
            </w:r>
            <w:r>
              <w:rPr>
                <w:rFonts w:ascii="Segoe UI" w:hAnsi="Segoe UI" w:cs="Segoe UI"/>
                <w:color w:val="FF0000"/>
                <w:sz w:val="20"/>
                <w:szCs w:val="20"/>
              </w:rPr>
              <w:t>-4%</w:t>
            </w:r>
            <w:r>
              <w:rPr>
                <w:rFonts w:ascii="Segoe UI" w:hAnsi="Segoe UI" w:cs="Segoe UI"/>
                <w:sz w:val="20"/>
                <w:szCs w:val="20"/>
              </w:rPr>
              <w:t>)</w:t>
            </w:r>
          </w:p>
        </w:tc>
        <w:tc>
          <w:tcPr>
            <w:tcW w:w="1258" w:type="dxa"/>
            <w:tcBorders>
              <w:top w:val="nil"/>
              <w:left w:val="nil"/>
              <w:bottom w:val="single" w:sz="8" w:space="0" w:color="auto"/>
              <w:right w:val="single" w:sz="8" w:space="0" w:color="auto"/>
            </w:tcBorders>
          </w:tcPr>
          <w:p w:rsidR="001005EC" w:rsidRDefault="001005EC" w:rsidP="001005EC">
            <w:pPr>
              <w:jc w:val="center"/>
              <w:rPr>
                <w:rFonts w:ascii="Segoe UI" w:hAnsi="Segoe UI" w:cs="Segoe UI"/>
                <w:sz w:val="20"/>
                <w:szCs w:val="20"/>
              </w:rPr>
            </w:pPr>
            <w:r>
              <w:rPr>
                <w:rFonts w:ascii="Segoe UI" w:hAnsi="Segoe UI" w:cs="Segoe UI"/>
                <w:sz w:val="20"/>
                <w:szCs w:val="20"/>
              </w:rPr>
              <w:t>488,1</w:t>
            </w:r>
          </w:p>
          <w:p w:rsidR="001005EC" w:rsidRDefault="001005EC" w:rsidP="001005EC">
            <w:pPr>
              <w:jc w:val="center"/>
              <w:rPr>
                <w:rFonts w:ascii="Segoe UI" w:hAnsi="Segoe UI" w:cs="Segoe UI"/>
                <w:i/>
                <w:iCs/>
                <w:sz w:val="20"/>
                <w:szCs w:val="20"/>
              </w:rPr>
            </w:pPr>
            <w:r>
              <w:rPr>
                <w:rFonts w:ascii="Segoe UI" w:hAnsi="Segoe UI" w:cs="Segoe UI"/>
                <w:sz w:val="20"/>
                <w:szCs w:val="20"/>
              </w:rPr>
              <w:t>(</w:t>
            </w:r>
            <w:r>
              <w:rPr>
                <w:rFonts w:ascii="Segoe UI" w:hAnsi="Segoe UI" w:cs="Segoe UI"/>
                <w:color w:val="FF0000"/>
                <w:sz w:val="20"/>
                <w:szCs w:val="20"/>
              </w:rPr>
              <w:t>-11%</w:t>
            </w:r>
            <w:r>
              <w:rPr>
                <w:rFonts w:ascii="Segoe UI" w:hAnsi="Segoe UI" w:cs="Segoe UI"/>
                <w:sz w:val="20"/>
                <w:szCs w:val="20"/>
              </w:rPr>
              <w:t>)</w:t>
            </w:r>
          </w:p>
        </w:tc>
        <w:tc>
          <w:tcPr>
            <w:tcW w:w="1258" w:type="dxa"/>
            <w:tcBorders>
              <w:top w:val="nil"/>
              <w:left w:val="nil"/>
              <w:bottom w:val="single" w:sz="8" w:space="0" w:color="auto"/>
              <w:right w:val="single" w:sz="8" w:space="0" w:color="auto"/>
            </w:tcBorders>
          </w:tcPr>
          <w:p w:rsidR="001005EC" w:rsidRDefault="001005EC" w:rsidP="001005EC">
            <w:pPr>
              <w:jc w:val="center"/>
              <w:rPr>
                <w:rFonts w:ascii="Segoe UI" w:hAnsi="Segoe UI" w:cs="Segoe UI"/>
                <w:sz w:val="20"/>
                <w:szCs w:val="20"/>
              </w:rPr>
            </w:pPr>
            <w:r>
              <w:rPr>
                <w:rFonts w:ascii="Segoe UI" w:hAnsi="Segoe UI" w:cs="Segoe UI"/>
                <w:sz w:val="20"/>
                <w:szCs w:val="20"/>
              </w:rPr>
              <w:t>492,2</w:t>
            </w:r>
          </w:p>
          <w:p w:rsidR="001005EC" w:rsidRDefault="001005EC" w:rsidP="001005EC">
            <w:pPr>
              <w:jc w:val="center"/>
              <w:rPr>
                <w:rFonts w:ascii="Segoe UI" w:hAnsi="Segoe UI" w:cs="Segoe UI"/>
                <w:sz w:val="20"/>
                <w:szCs w:val="20"/>
              </w:rPr>
            </w:pPr>
            <w:r>
              <w:rPr>
                <w:rFonts w:ascii="Segoe UI" w:hAnsi="Segoe UI" w:cs="Segoe UI"/>
                <w:sz w:val="20"/>
                <w:szCs w:val="20"/>
              </w:rPr>
              <w:t>(</w:t>
            </w:r>
            <w:r>
              <w:rPr>
                <w:rFonts w:ascii="Segoe UI" w:hAnsi="Segoe UI" w:cs="Segoe UI"/>
                <w:color w:val="FF0000"/>
                <w:sz w:val="20"/>
                <w:szCs w:val="20"/>
              </w:rPr>
              <w:t>-11%</w:t>
            </w:r>
            <w:r>
              <w:rPr>
                <w:rFonts w:ascii="Segoe UI" w:hAnsi="Segoe UI" w:cs="Segoe UI"/>
                <w:sz w:val="20"/>
                <w:szCs w:val="20"/>
              </w:rPr>
              <w:t>)</w:t>
            </w:r>
          </w:p>
        </w:tc>
        <w:tc>
          <w:tcPr>
            <w:tcW w:w="1258" w:type="dxa"/>
            <w:tcBorders>
              <w:top w:val="nil"/>
              <w:left w:val="nil"/>
              <w:bottom w:val="single" w:sz="8" w:space="0" w:color="auto"/>
              <w:right w:val="single" w:sz="8" w:space="0" w:color="auto"/>
            </w:tcBorders>
          </w:tcPr>
          <w:p w:rsidR="001005EC" w:rsidRDefault="001005EC" w:rsidP="001005EC">
            <w:pPr>
              <w:jc w:val="center"/>
              <w:rPr>
                <w:rFonts w:ascii="Segoe UI" w:hAnsi="Segoe UI" w:cs="Segoe UI"/>
                <w:i/>
                <w:iCs/>
                <w:sz w:val="20"/>
                <w:szCs w:val="20"/>
              </w:rPr>
            </w:pPr>
            <w:r>
              <w:rPr>
                <w:rFonts w:ascii="Segoe UI" w:hAnsi="Segoe UI" w:cs="Segoe UI"/>
                <w:i/>
                <w:iCs/>
                <w:sz w:val="20"/>
                <w:szCs w:val="20"/>
              </w:rPr>
              <w:t>Non dispo.</w:t>
            </w:r>
          </w:p>
        </w:tc>
        <w:tc>
          <w:tcPr>
            <w:tcW w:w="1254" w:type="dxa"/>
            <w:tcBorders>
              <w:top w:val="nil"/>
              <w:left w:val="nil"/>
              <w:bottom w:val="single" w:sz="8" w:space="0" w:color="auto"/>
              <w:right w:val="single" w:sz="8" w:space="0" w:color="auto"/>
            </w:tcBorders>
            <w:shd w:val="clear" w:color="auto" w:fill="DEEAF6"/>
          </w:tcPr>
          <w:p w:rsidR="001005EC" w:rsidRDefault="001005EC" w:rsidP="001005EC">
            <w:pPr>
              <w:jc w:val="center"/>
              <w:rPr>
                <w:rFonts w:ascii="Segoe UI" w:hAnsi="Segoe UI" w:cs="Segoe UI"/>
                <w:b/>
                <w:bCs/>
                <w:i/>
                <w:iCs/>
                <w:sz w:val="20"/>
                <w:szCs w:val="20"/>
              </w:rPr>
            </w:pPr>
            <w:r>
              <w:rPr>
                <w:rFonts w:ascii="Segoe UI" w:hAnsi="Segoe UI" w:cs="Segoe UI"/>
                <w:b/>
                <w:bCs/>
                <w:i/>
                <w:iCs/>
                <w:sz w:val="20"/>
                <w:szCs w:val="20"/>
              </w:rPr>
              <w:t>Non dispo.</w:t>
            </w:r>
          </w:p>
        </w:tc>
      </w:tr>
    </w:tbl>
    <w:p w:rsidR="003F1271" w:rsidRDefault="007F799E" w:rsidP="007A1C2E">
      <w:pPr>
        <w:spacing w:before="120" w:after="120" w:line="240" w:lineRule="auto"/>
        <w:jc w:val="both"/>
        <w:rPr>
          <w:rFonts w:ascii="Segoe UI" w:eastAsia="SimSun" w:hAnsi="Segoe UI" w:cs="Segoe UI"/>
          <w:i/>
          <w:color w:val="767171" w:themeColor="background2" w:themeShade="80"/>
          <w:sz w:val="18"/>
          <w:lang w:eastAsia="ja-JP"/>
        </w:rPr>
      </w:pPr>
      <w:r w:rsidRPr="0088772B">
        <w:rPr>
          <w:rFonts w:ascii="Segoe UI" w:eastAsia="SimSun" w:hAnsi="Segoe UI" w:cs="Segoe UI"/>
          <w:i/>
          <w:color w:val="767171" w:themeColor="background2" w:themeShade="80"/>
          <w:sz w:val="18"/>
          <w:lang w:eastAsia="ja-JP"/>
        </w:rPr>
        <w:t xml:space="preserve">NB : ces données sont issues de la base de données </w:t>
      </w:r>
      <w:hyperlink r:id="rId13" w:history="1">
        <w:r w:rsidRPr="0088772B">
          <w:rPr>
            <w:rStyle w:val="Lienhypertexte"/>
            <w:rFonts w:ascii="Segoe UI" w:eastAsia="SimSun" w:hAnsi="Segoe UI" w:cs="Segoe UI"/>
            <w:i/>
            <w:color w:val="767171" w:themeColor="background2" w:themeShade="80"/>
            <w:sz w:val="18"/>
            <w:lang w:eastAsia="ja-JP"/>
          </w:rPr>
          <w:t>Wind</w:t>
        </w:r>
      </w:hyperlink>
      <w:r w:rsidRPr="0088772B">
        <w:rPr>
          <w:rFonts w:ascii="Segoe UI" w:eastAsia="SimSun" w:hAnsi="Segoe UI" w:cs="Segoe UI"/>
          <w:i/>
          <w:color w:val="767171" w:themeColor="background2" w:themeShade="80"/>
          <w:sz w:val="18"/>
          <w:lang w:eastAsia="ja-JP"/>
        </w:rPr>
        <w:t>. Les six groupes de production électrique sont : Zhejiang Electric Group, Shangdian Power, Yudean Group, China Guodian Corp., China Datang et China Huaneng. Les 32 villes sont : Pékin, Shanghai, Tianjin, Canton, Shenzhen, Hangzhou, Nankin, Qingdao, Suzhou, Jiangyin, Xiamen, Dalian, Wuhan, Nanchang, Foshan, Wuxi, Fuzhou, Dongguan, Huizhou, Baotou, Changchun, Yangzhou, Anqing, Yueyang, Shaoguan, Nanning, Chengdu, Changsha, Harbin, Kunming, Shijiazhuang, Lanzhou. On compare la moyenne glissante sur sept jours avec la période correspondante en 2019 (glissement annuel).</w:t>
      </w:r>
    </w:p>
    <w:p w:rsidR="005E45DA" w:rsidRPr="008577FA" w:rsidRDefault="00874F9E" w:rsidP="008577FA">
      <w:pPr>
        <w:rPr>
          <w:rFonts w:ascii="Segoe UI" w:eastAsia="SimSun" w:hAnsi="Segoe UI" w:cs="Segoe UI"/>
          <w:i/>
          <w:color w:val="767171" w:themeColor="background2" w:themeShade="80"/>
          <w:sz w:val="18"/>
          <w:lang w:eastAsia="ja-JP"/>
        </w:rPr>
      </w:pPr>
      <w:r w:rsidRPr="0088772B">
        <w:rPr>
          <w:rFonts w:ascii="Segoe UI" w:eastAsiaTheme="minorHAnsi" w:hAnsi="Segoe UI" w:cs="Segoe UI"/>
          <w:b/>
          <w:color w:val="006CE5"/>
          <w:u w:val="single"/>
        </w:rPr>
        <w:t>Pr</w:t>
      </w:r>
      <w:r w:rsidR="003F3168" w:rsidRPr="0088772B">
        <w:rPr>
          <w:rFonts w:ascii="Segoe UI" w:eastAsiaTheme="minorHAnsi" w:hAnsi="Segoe UI" w:cs="Segoe UI"/>
          <w:b/>
          <w:color w:val="006CE5"/>
          <w:u w:val="single"/>
        </w:rPr>
        <w:t>incipales actualités</w:t>
      </w:r>
      <w:r w:rsidR="0037001A" w:rsidRPr="0088772B">
        <w:rPr>
          <w:rFonts w:ascii="Segoe UI" w:eastAsiaTheme="minorHAnsi" w:hAnsi="Segoe UI" w:cs="Segoe UI"/>
          <w:b/>
          <w:color w:val="006CE5"/>
          <w:u w:val="single"/>
        </w:rPr>
        <w:t xml:space="preserve"> économiques</w:t>
      </w:r>
    </w:p>
    <w:p w:rsidR="008577FA" w:rsidRPr="008577FA" w:rsidRDefault="008577FA" w:rsidP="008577FA">
      <w:pPr>
        <w:autoSpaceDE w:val="0"/>
        <w:autoSpaceDN w:val="0"/>
        <w:spacing w:before="120"/>
        <w:jc w:val="both"/>
        <w:rPr>
          <w:rFonts w:ascii="Segoe UI" w:hAnsi="Segoe UI" w:cs="Segoe UI"/>
        </w:rPr>
      </w:pPr>
      <w:r w:rsidRPr="008577FA">
        <w:rPr>
          <w:rFonts w:ascii="Segoe UI" w:hAnsi="Segoe UI" w:cs="Segoe UI"/>
          <w:color w:val="006CE5"/>
        </w:rPr>
        <w:t xml:space="preserve">La liaison aérienne Dacca-Canton par </w:t>
      </w:r>
      <w:r w:rsidRPr="000C3385">
        <w:rPr>
          <w:rFonts w:ascii="Segoe UI" w:hAnsi="Segoe UI" w:cs="Segoe UI"/>
          <w:i/>
          <w:color w:val="006CE5"/>
        </w:rPr>
        <w:t>China Southern</w:t>
      </w:r>
      <w:r w:rsidRPr="008577FA">
        <w:rPr>
          <w:rFonts w:ascii="Segoe UI" w:hAnsi="Segoe UI" w:cs="Segoe UI"/>
          <w:color w:val="006CE5"/>
        </w:rPr>
        <w:t xml:space="preserve"> est suspendue pour un mois</w:t>
      </w:r>
      <w:r w:rsidRPr="008577FA">
        <w:rPr>
          <w:rFonts w:ascii="Segoe UI" w:hAnsi="Segoe UI" w:cs="Segoe UI"/>
        </w:rPr>
        <w:t>. L’Administration de l’Aviation Civile de Chine (CAAC) l’a annoncé le 14</w:t>
      </w:r>
      <w:r w:rsidR="000C3385">
        <w:rPr>
          <w:rFonts w:ascii="Segoe UI" w:hAnsi="Segoe UI" w:cs="Segoe UI"/>
        </w:rPr>
        <w:t> </w:t>
      </w:r>
      <w:r w:rsidRPr="008577FA">
        <w:rPr>
          <w:rFonts w:ascii="Segoe UI" w:hAnsi="Segoe UI" w:cs="Segoe UI"/>
        </w:rPr>
        <w:t>juin. La décision, qui prend effet le 22 juin pour quatre semaines, se fonde sur le motif que 17</w:t>
      </w:r>
      <w:r w:rsidR="000C3385">
        <w:rPr>
          <w:rFonts w:ascii="Segoe UI" w:hAnsi="Segoe UI" w:cs="Segoe UI"/>
        </w:rPr>
        <w:t> </w:t>
      </w:r>
      <w:r w:rsidRPr="008577FA">
        <w:rPr>
          <w:rFonts w:ascii="Segoe UI" w:hAnsi="Segoe UI" w:cs="Segoe UI"/>
        </w:rPr>
        <w:t>passagers ont été testés positifs au Covid-19 à leur arrivée à Canton. Il s’agit de la première application des dispositions de « bonus/malus » mises en place par la Chine le 4</w:t>
      </w:r>
      <w:r w:rsidR="000C3385">
        <w:rPr>
          <w:rFonts w:ascii="Segoe UI" w:hAnsi="Segoe UI" w:cs="Segoe UI"/>
        </w:rPr>
        <w:t> </w:t>
      </w:r>
      <w:r w:rsidRPr="008577FA">
        <w:rPr>
          <w:rFonts w:ascii="Segoe UI" w:hAnsi="Segoe UI" w:cs="Segoe UI"/>
        </w:rPr>
        <w:t>juin, qui conditionnent la continuité, la progression ou la suspension de fréquences de vol internationaux au nombre de passagers testés positifs à l’entrée sur le territoire chinois. D’autres suspensions sont possibles à l’avenir. Ces dispositions chinoises sont dérogatoires aux accords aériens bilatéraux et leur application est unilatéra</w:t>
      </w:r>
      <w:r w:rsidR="000C3385">
        <w:rPr>
          <w:rFonts w:ascii="Segoe UI" w:hAnsi="Segoe UI" w:cs="Segoe UI"/>
        </w:rPr>
        <w:t>le, sans appel et sans recours.</w:t>
      </w:r>
    </w:p>
    <w:p w:rsidR="008577FA" w:rsidRPr="008577FA" w:rsidRDefault="008577FA" w:rsidP="008577FA">
      <w:pPr>
        <w:autoSpaceDE w:val="0"/>
        <w:autoSpaceDN w:val="0"/>
        <w:spacing w:before="120"/>
        <w:jc w:val="both"/>
        <w:rPr>
          <w:rFonts w:ascii="Segoe UI" w:hAnsi="Segoe UI" w:cs="Segoe UI"/>
        </w:rPr>
      </w:pPr>
      <w:r w:rsidRPr="008577FA">
        <w:rPr>
          <w:rFonts w:ascii="Segoe UI" w:hAnsi="Segoe UI" w:cs="Segoe UI"/>
          <w:color w:val="006CE5"/>
        </w:rPr>
        <w:t>China Eastern veut créer une nouvelle compagnie aérienne basée à Sanya (Hainan).</w:t>
      </w:r>
      <w:r w:rsidRPr="008577FA">
        <w:rPr>
          <w:rFonts w:ascii="Segoe UI" w:hAnsi="Segoe UI" w:cs="Segoe UI"/>
        </w:rPr>
        <w:t xml:space="preserve"> Cette nouvelle compagnie, </w:t>
      </w:r>
      <w:r w:rsidRPr="000C3385">
        <w:rPr>
          <w:rFonts w:ascii="Segoe UI" w:hAnsi="Segoe UI" w:cs="Segoe UI"/>
          <w:i/>
        </w:rPr>
        <w:t>Sanya International Airlines</w:t>
      </w:r>
      <w:r w:rsidRPr="008577FA">
        <w:rPr>
          <w:rFonts w:ascii="Segoe UI" w:hAnsi="Segoe UI" w:cs="Segoe UI"/>
        </w:rPr>
        <w:t xml:space="preserve">, sera une filiale de </w:t>
      </w:r>
      <w:r w:rsidRPr="000C3385">
        <w:rPr>
          <w:rFonts w:ascii="Segoe UI" w:hAnsi="Segoe UI" w:cs="Segoe UI"/>
          <w:i/>
        </w:rPr>
        <w:t>China Eastern</w:t>
      </w:r>
      <w:r w:rsidRPr="008577FA">
        <w:rPr>
          <w:rFonts w:ascii="Segoe UI" w:hAnsi="Segoe UI" w:cs="Segoe UI"/>
        </w:rPr>
        <w:t xml:space="preserve"> (51</w:t>
      </w:r>
      <w:r>
        <w:rPr>
          <w:rFonts w:ascii="Segoe UI" w:hAnsi="Segoe UI" w:cs="Segoe UI"/>
        </w:rPr>
        <w:t> </w:t>
      </w:r>
      <w:r w:rsidRPr="008577FA">
        <w:rPr>
          <w:rFonts w:ascii="Segoe UI" w:hAnsi="Segoe UI" w:cs="Segoe UI"/>
        </w:rPr>
        <w:t>%) et comptera sur la participation de la Province de Hainan (10</w:t>
      </w:r>
      <w:r>
        <w:rPr>
          <w:rFonts w:ascii="Segoe UI" w:hAnsi="Segoe UI" w:cs="Segoe UI"/>
        </w:rPr>
        <w:t> </w:t>
      </w:r>
      <w:r w:rsidRPr="008577FA">
        <w:rPr>
          <w:rFonts w:ascii="Segoe UI" w:hAnsi="Segoe UI" w:cs="Segoe UI"/>
        </w:rPr>
        <w:t>%), de la ville de Sanya (10</w:t>
      </w:r>
      <w:r>
        <w:rPr>
          <w:rFonts w:ascii="Segoe UI" w:hAnsi="Segoe UI" w:cs="Segoe UI"/>
        </w:rPr>
        <w:t> </w:t>
      </w:r>
      <w:r w:rsidRPr="008577FA">
        <w:rPr>
          <w:rFonts w:ascii="Segoe UI" w:hAnsi="Segoe UI" w:cs="Segoe UI"/>
        </w:rPr>
        <w:t>%), de l’agence Trip.com (14</w:t>
      </w:r>
      <w:r>
        <w:rPr>
          <w:rFonts w:ascii="Segoe UI" w:hAnsi="Segoe UI" w:cs="Segoe UI"/>
        </w:rPr>
        <w:t> </w:t>
      </w:r>
      <w:r w:rsidRPr="008577FA">
        <w:rPr>
          <w:rFonts w:ascii="Segoe UI" w:hAnsi="Segoe UI" w:cs="Segoe UI"/>
        </w:rPr>
        <w:t xml:space="preserve">%) et de la compagnie shanghaienne </w:t>
      </w:r>
      <w:r w:rsidRPr="000C3385">
        <w:rPr>
          <w:rFonts w:ascii="Segoe UI" w:hAnsi="Segoe UI" w:cs="Segoe UI"/>
          <w:i/>
        </w:rPr>
        <w:t>Juneyao Airlines</w:t>
      </w:r>
      <w:r w:rsidRPr="008577FA">
        <w:rPr>
          <w:rFonts w:ascii="Segoe UI" w:hAnsi="Segoe UI" w:cs="Segoe UI"/>
        </w:rPr>
        <w:t xml:space="preserve"> (15%). Cette annonce intervient dans le contexte du projet du Conseil des Affaires d’</w:t>
      </w:r>
      <w:r w:rsidR="000C3385" w:rsidRPr="008577FA">
        <w:rPr>
          <w:rFonts w:ascii="Segoe UI" w:hAnsi="Segoe UI" w:cs="Segoe UI"/>
        </w:rPr>
        <w:t>État</w:t>
      </w:r>
      <w:r w:rsidRPr="008577FA">
        <w:rPr>
          <w:rFonts w:ascii="Segoe UI" w:hAnsi="Segoe UI" w:cs="Segoe UI"/>
        </w:rPr>
        <w:t xml:space="preserve"> de création d’un port franc à Hainan, publiée le 1</w:t>
      </w:r>
      <w:r w:rsidRPr="008577FA">
        <w:rPr>
          <w:rFonts w:ascii="Segoe UI" w:hAnsi="Segoe UI" w:cs="Segoe UI"/>
          <w:vertAlign w:val="superscript"/>
        </w:rPr>
        <w:t>er</w:t>
      </w:r>
      <w:r w:rsidRPr="008577FA">
        <w:rPr>
          <w:rFonts w:ascii="Segoe UI" w:hAnsi="Segoe UI" w:cs="Segoe UI"/>
        </w:rPr>
        <w:t xml:space="preserve"> juin 2020</w:t>
      </w:r>
      <w:r>
        <w:rPr>
          <w:rFonts w:ascii="Segoe UI" w:hAnsi="Segoe UI" w:cs="Segoe UI"/>
        </w:rPr>
        <w:t xml:space="preserve"> (</w:t>
      </w:r>
      <w:hyperlink r:id="rId14" w:history="1">
        <w:r w:rsidRPr="008577FA">
          <w:rPr>
            <w:rStyle w:val="Lienhypertexte"/>
            <w:rFonts w:ascii="Segoe UI" w:hAnsi="Segoe UI" w:cs="Segoe UI"/>
          </w:rPr>
          <w:t>SCMP</w:t>
        </w:r>
      </w:hyperlink>
      <w:r>
        <w:rPr>
          <w:rFonts w:ascii="Segoe UI" w:hAnsi="Segoe UI" w:cs="Segoe UI"/>
        </w:rPr>
        <w:t>)</w:t>
      </w:r>
      <w:r w:rsidR="000C3385">
        <w:rPr>
          <w:rFonts w:ascii="Segoe UI" w:hAnsi="Segoe UI" w:cs="Segoe UI"/>
        </w:rPr>
        <w:t>.</w:t>
      </w:r>
    </w:p>
    <w:p w:rsidR="001005EC" w:rsidRDefault="001005EC" w:rsidP="007D3F4F">
      <w:pPr>
        <w:autoSpaceDE w:val="0"/>
        <w:autoSpaceDN w:val="0"/>
        <w:spacing w:before="100" w:after="100" w:line="240" w:lineRule="auto"/>
        <w:jc w:val="both"/>
        <w:rPr>
          <w:rFonts w:ascii="Segoe UI" w:hAnsi="Segoe UI" w:cs="Segoe UI"/>
        </w:rPr>
      </w:pPr>
      <w:r>
        <w:rPr>
          <w:rFonts w:ascii="Segoe UI" w:hAnsi="Segoe UI" w:cs="Segoe UI"/>
          <w:color w:val="006CE5"/>
        </w:rPr>
        <w:lastRenderedPageBreak/>
        <w:t>L</w:t>
      </w:r>
      <w:r w:rsidRPr="001005EC">
        <w:rPr>
          <w:rFonts w:ascii="Segoe UI" w:hAnsi="Segoe UI" w:cs="Segoe UI"/>
          <w:color w:val="006CE5"/>
        </w:rPr>
        <w:t>a croissance de la production industrielle (en valeur ajout</w:t>
      </w:r>
      <w:r w:rsidR="0067382C">
        <w:rPr>
          <w:rFonts w:ascii="Segoe UI" w:hAnsi="Segoe UI" w:cs="Segoe UI"/>
          <w:color w:val="006CE5"/>
        </w:rPr>
        <w:t>ée) a poursuivi</w:t>
      </w:r>
      <w:r>
        <w:rPr>
          <w:rFonts w:ascii="Segoe UI" w:hAnsi="Segoe UI" w:cs="Segoe UI"/>
          <w:color w:val="006CE5"/>
        </w:rPr>
        <w:t xml:space="preserve"> sa normalisation en mai : </w:t>
      </w:r>
      <w:r w:rsidRPr="001005EC">
        <w:rPr>
          <w:rFonts w:ascii="Segoe UI" w:hAnsi="Segoe UI" w:cs="Segoe UI"/>
          <w:color w:val="006CE5"/>
        </w:rPr>
        <w:t>+4,4</w:t>
      </w:r>
      <w:r w:rsidR="00D747F8">
        <w:rPr>
          <w:rFonts w:ascii="Segoe UI" w:hAnsi="Segoe UI" w:cs="Segoe UI"/>
          <w:color w:val="006CE5"/>
        </w:rPr>
        <w:t> </w:t>
      </w:r>
      <w:r w:rsidRPr="001005EC">
        <w:rPr>
          <w:rFonts w:ascii="Segoe UI" w:hAnsi="Segoe UI" w:cs="Segoe UI"/>
          <w:color w:val="006CE5"/>
        </w:rPr>
        <w:t xml:space="preserve">% en g.a. </w:t>
      </w:r>
      <w:r w:rsidRPr="001005EC">
        <w:rPr>
          <w:rFonts w:ascii="Segoe UI" w:hAnsi="Segoe UI" w:cs="Segoe UI"/>
        </w:rPr>
        <w:t>contre +3,9</w:t>
      </w:r>
      <w:r w:rsidR="00D747F8">
        <w:rPr>
          <w:rFonts w:ascii="Segoe UI" w:hAnsi="Segoe UI" w:cs="Segoe UI"/>
        </w:rPr>
        <w:t> </w:t>
      </w:r>
      <w:r w:rsidRPr="001005EC">
        <w:rPr>
          <w:rFonts w:ascii="Segoe UI" w:hAnsi="Segoe UI" w:cs="Segoe UI"/>
        </w:rPr>
        <w:t>% en avril. Cette amélioration est notamment imputable au secteur minier (+1,1</w:t>
      </w:r>
      <w:r w:rsidR="00D747F8">
        <w:rPr>
          <w:rFonts w:ascii="Segoe UI" w:hAnsi="Segoe UI" w:cs="Segoe UI"/>
        </w:rPr>
        <w:t> </w:t>
      </w:r>
      <w:r w:rsidRPr="001005EC">
        <w:rPr>
          <w:rFonts w:ascii="Segoe UI" w:hAnsi="Segoe UI" w:cs="Segoe UI"/>
        </w:rPr>
        <w:t>% en mai contre +0,3</w:t>
      </w:r>
      <w:r w:rsidR="00D747F8">
        <w:rPr>
          <w:rFonts w:ascii="Segoe UI" w:hAnsi="Segoe UI" w:cs="Segoe UI"/>
        </w:rPr>
        <w:t> </w:t>
      </w:r>
      <w:r w:rsidRPr="001005EC">
        <w:rPr>
          <w:rFonts w:ascii="Segoe UI" w:hAnsi="Segoe UI" w:cs="Segoe UI"/>
        </w:rPr>
        <w:t>%</w:t>
      </w:r>
      <w:r w:rsidR="0041503C">
        <w:rPr>
          <w:rFonts w:ascii="Segoe UI" w:hAnsi="Segoe UI" w:cs="Segoe UI"/>
        </w:rPr>
        <w:t xml:space="preserve"> en avril). L</w:t>
      </w:r>
      <w:r w:rsidRPr="001005EC">
        <w:rPr>
          <w:rFonts w:ascii="Segoe UI" w:hAnsi="Segoe UI" w:cs="Segoe UI"/>
        </w:rPr>
        <w:t>a production des entreprises privées enregistre une plus forte reprise que celle  des entreprises d’</w:t>
      </w:r>
      <w:r w:rsidR="000C3385" w:rsidRPr="001005EC">
        <w:rPr>
          <w:rFonts w:ascii="Segoe UI" w:hAnsi="Segoe UI" w:cs="Segoe UI"/>
        </w:rPr>
        <w:t>État</w:t>
      </w:r>
      <w:r w:rsidRPr="001005EC">
        <w:rPr>
          <w:rFonts w:ascii="Segoe UI" w:hAnsi="Segoe UI" w:cs="Segoe UI"/>
        </w:rPr>
        <w:t xml:space="preserve"> (+7,1</w:t>
      </w:r>
      <w:r w:rsidR="00D747F8">
        <w:rPr>
          <w:rFonts w:ascii="Segoe UI" w:hAnsi="Segoe UI" w:cs="Segoe UI"/>
        </w:rPr>
        <w:t> </w:t>
      </w:r>
      <w:r w:rsidRPr="001005EC">
        <w:rPr>
          <w:rFonts w:ascii="Segoe UI" w:hAnsi="Segoe UI" w:cs="Segoe UI"/>
        </w:rPr>
        <w:t>% contre +2,1</w:t>
      </w:r>
      <w:r w:rsidR="00D747F8">
        <w:rPr>
          <w:rFonts w:ascii="Segoe UI" w:hAnsi="Segoe UI" w:cs="Segoe UI"/>
        </w:rPr>
        <w:t> </w:t>
      </w:r>
      <w:r w:rsidR="000C3385">
        <w:rPr>
          <w:rFonts w:ascii="Segoe UI" w:hAnsi="Segoe UI" w:cs="Segoe UI"/>
        </w:rPr>
        <w:t>%)</w:t>
      </w:r>
      <w:r w:rsidR="00D747F8">
        <w:rPr>
          <w:rFonts w:ascii="Segoe UI" w:hAnsi="Segoe UI" w:cs="Segoe UI"/>
        </w:rPr>
        <w:t xml:space="preserve"> (</w:t>
      </w:r>
      <w:hyperlink r:id="rId15" w:history="1">
        <w:r w:rsidR="00D747F8" w:rsidRPr="00114B68">
          <w:rPr>
            <w:rStyle w:val="Lienhypertexte"/>
            <w:rFonts w:ascii="Segoe UI" w:hAnsi="Segoe UI" w:cs="Segoe UI"/>
          </w:rPr>
          <w:t>SCMP</w:t>
        </w:r>
      </w:hyperlink>
      <w:r w:rsidR="00D747F8">
        <w:rPr>
          <w:rFonts w:ascii="Segoe UI" w:hAnsi="Segoe UI" w:cs="Segoe UI"/>
        </w:rPr>
        <w:t>)</w:t>
      </w:r>
      <w:r w:rsidR="000C3385">
        <w:rPr>
          <w:rFonts w:ascii="Segoe UI" w:hAnsi="Segoe UI" w:cs="Segoe UI"/>
        </w:rPr>
        <w:t>.</w:t>
      </w:r>
    </w:p>
    <w:p w:rsidR="00D747F8" w:rsidRPr="00D747F8" w:rsidRDefault="00D747F8" w:rsidP="007D3F4F">
      <w:pPr>
        <w:autoSpaceDE w:val="0"/>
        <w:autoSpaceDN w:val="0"/>
        <w:spacing w:before="100" w:after="100" w:line="240" w:lineRule="auto"/>
        <w:jc w:val="both"/>
        <w:rPr>
          <w:rFonts w:ascii="Segoe UI" w:hAnsi="Segoe UI" w:cs="Segoe UI"/>
        </w:rPr>
      </w:pPr>
      <w:r w:rsidRPr="00C16D92">
        <w:rPr>
          <w:rFonts w:ascii="Segoe UI" w:hAnsi="Segoe UI" w:cs="Segoe UI"/>
          <w:color w:val="006CE5"/>
        </w:rPr>
        <w:t>L</w:t>
      </w:r>
      <w:r w:rsidR="0067382C">
        <w:rPr>
          <w:rFonts w:ascii="Segoe UI" w:hAnsi="Segoe UI" w:cs="Segoe UI"/>
          <w:color w:val="006CE5"/>
        </w:rPr>
        <w:t>es ventes au détail ont enregistré</w:t>
      </w:r>
      <w:r w:rsidRPr="00C16D92">
        <w:rPr>
          <w:rFonts w:ascii="Segoe UI" w:hAnsi="Segoe UI" w:cs="Segoe UI"/>
          <w:color w:val="006CE5"/>
        </w:rPr>
        <w:t xml:space="preserve"> une moindre contraction en mai : -2,8</w:t>
      </w:r>
      <w:r w:rsidR="00C16D92">
        <w:rPr>
          <w:rFonts w:ascii="Segoe UI" w:hAnsi="Segoe UI" w:cs="Segoe UI"/>
          <w:color w:val="006CE5"/>
        </w:rPr>
        <w:t> </w:t>
      </w:r>
      <w:r w:rsidRPr="00C16D92">
        <w:rPr>
          <w:rFonts w:ascii="Segoe UI" w:hAnsi="Segoe UI" w:cs="Segoe UI"/>
          <w:color w:val="006CE5"/>
        </w:rPr>
        <w:t>% en g.a</w:t>
      </w:r>
      <w:r w:rsidRPr="00D747F8">
        <w:rPr>
          <w:rFonts w:ascii="Segoe UI" w:hAnsi="Segoe UI" w:cs="Segoe UI"/>
        </w:rPr>
        <w:t xml:space="preserve">. </w:t>
      </w:r>
      <w:r>
        <w:rPr>
          <w:rFonts w:ascii="Segoe UI" w:hAnsi="Segoe UI" w:cs="Segoe UI"/>
        </w:rPr>
        <w:t>après -7,5 % en avril. La baisse des ventes est particulièrement marquée dans la restauration (-18,9 %) tandis que les ventes du secteur automobile retrouvent la croissance (+7,2</w:t>
      </w:r>
      <w:r w:rsidRPr="00D747F8">
        <w:rPr>
          <w:rFonts w:ascii="Segoe UI" w:hAnsi="Segoe UI" w:cs="Segoe UI"/>
        </w:rPr>
        <w:t> % après -2,5 % en avril)</w:t>
      </w:r>
      <w:r>
        <w:rPr>
          <w:rFonts w:ascii="Segoe UI" w:hAnsi="Segoe UI" w:cs="Segoe UI"/>
        </w:rPr>
        <w:t xml:space="preserve"> grâce aux mesures d</w:t>
      </w:r>
      <w:r w:rsidR="000C3385">
        <w:rPr>
          <w:rFonts w:ascii="Segoe UI" w:hAnsi="Segoe UI" w:cs="Segoe UI"/>
        </w:rPr>
        <w:t>e soutien des autorités locales</w:t>
      </w:r>
      <w:r>
        <w:rPr>
          <w:rFonts w:ascii="Segoe UI" w:hAnsi="Segoe UI" w:cs="Segoe UI"/>
        </w:rPr>
        <w:t xml:space="preserve"> </w:t>
      </w:r>
      <w:r w:rsidR="00114B68">
        <w:rPr>
          <w:rFonts w:ascii="Segoe UI" w:hAnsi="Segoe UI" w:cs="Segoe UI"/>
        </w:rPr>
        <w:t>(</w:t>
      </w:r>
      <w:hyperlink r:id="rId16" w:history="1">
        <w:r w:rsidR="00114B68" w:rsidRPr="00114B68">
          <w:rPr>
            <w:rStyle w:val="Lienhypertexte"/>
            <w:rFonts w:ascii="Segoe UI" w:hAnsi="Segoe UI" w:cs="Segoe UI"/>
          </w:rPr>
          <w:t>SCMP</w:t>
        </w:r>
      </w:hyperlink>
      <w:r w:rsidR="00114B68">
        <w:rPr>
          <w:rFonts w:ascii="Segoe UI" w:hAnsi="Segoe UI" w:cs="Segoe UI"/>
        </w:rPr>
        <w:t>)</w:t>
      </w:r>
      <w:r w:rsidR="000C3385">
        <w:rPr>
          <w:rFonts w:ascii="Segoe UI" w:hAnsi="Segoe UI" w:cs="Segoe UI"/>
        </w:rPr>
        <w:t>.</w:t>
      </w:r>
    </w:p>
    <w:p w:rsidR="001005EC" w:rsidRDefault="00114B68" w:rsidP="007D3F4F">
      <w:pPr>
        <w:autoSpaceDE w:val="0"/>
        <w:autoSpaceDN w:val="0"/>
        <w:spacing w:before="100" w:after="100" w:line="240" w:lineRule="auto"/>
        <w:jc w:val="both"/>
        <w:rPr>
          <w:rFonts w:ascii="Segoe UI" w:hAnsi="Segoe UI" w:cs="Segoe UI"/>
        </w:rPr>
      </w:pPr>
      <w:r>
        <w:rPr>
          <w:rFonts w:ascii="Segoe UI" w:hAnsi="Segoe UI" w:cs="Segoe UI"/>
          <w:color w:val="006CE5"/>
        </w:rPr>
        <w:t>Les in</w:t>
      </w:r>
      <w:r w:rsidR="0067382C">
        <w:rPr>
          <w:rFonts w:ascii="Segoe UI" w:hAnsi="Segoe UI" w:cs="Segoe UI"/>
          <w:color w:val="006CE5"/>
        </w:rPr>
        <w:t>vestissements en capital fixe ont</w:t>
      </w:r>
      <w:r>
        <w:rPr>
          <w:rFonts w:ascii="Segoe UI" w:hAnsi="Segoe UI" w:cs="Segoe UI"/>
          <w:color w:val="006CE5"/>
        </w:rPr>
        <w:t xml:space="preserve"> également</w:t>
      </w:r>
      <w:r w:rsidR="0067382C">
        <w:rPr>
          <w:rFonts w:ascii="Segoe UI" w:hAnsi="Segoe UI" w:cs="Segoe UI"/>
          <w:color w:val="006CE5"/>
        </w:rPr>
        <w:t xml:space="preserve"> enregistré</w:t>
      </w:r>
      <w:r>
        <w:rPr>
          <w:rFonts w:ascii="Segoe UI" w:hAnsi="Segoe UI" w:cs="Segoe UI"/>
          <w:color w:val="006CE5"/>
        </w:rPr>
        <w:t xml:space="preserve"> une moindre contraction en mai : -6,3 % en g.a. </w:t>
      </w:r>
      <w:r>
        <w:rPr>
          <w:rFonts w:ascii="Segoe UI" w:hAnsi="Segoe UI" w:cs="Segoe UI"/>
        </w:rPr>
        <w:t xml:space="preserve">après -11,8 % en avril, </w:t>
      </w:r>
      <w:r w:rsidRPr="00114B68">
        <w:rPr>
          <w:rFonts w:ascii="Segoe UI" w:hAnsi="Segoe UI" w:cs="Segoe UI"/>
        </w:rPr>
        <w:t>notamment en raison des investissements en infrastructures (-6,3</w:t>
      </w:r>
      <w:r>
        <w:rPr>
          <w:rFonts w:ascii="Segoe UI" w:hAnsi="Segoe UI" w:cs="Segoe UI"/>
        </w:rPr>
        <w:t> </w:t>
      </w:r>
      <w:r w:rsidRPr="00114B68">
        <w:rPr>
          <w:rFonts w:ascii="Segoe UI" w:hAnsi="Segoe UI" w:cs="Segoe UI"/>
        </w:rPr>
        <w:t>% en mai contre -11,8</w:t>
      </w:r>
      <w:r>
        <w:rPr>
          <w:rFonts w:ascii="Segoe UI" w:hAnsi="Segoe UI" w:cs="Segoe UI"/>
        </w:rPr>
        <w:t> </w:t>
      </w:r>
      <w:r w:rsidRPr="00114B68">
        <w:rPr>
          <w:rFonts w:ascii="Segoe UI" w:hAnsi="Segoe UI" w:cs="Segoe UI"/>
        </w:rPr>
        <w:t>% en avril) ainsi que des investissements manufacturiers (-14,8</w:t>
      </w:r>
      <w:r>
        <w:rPr>
          <w:rFonts w:ascii="Segoe UI" w:hAnsi="Segoe UI" w:cs="Segoe UI"/>
        </w:rPr>
        <w:t> </w:t>
      </w:r>
      <w:r w:rsidRPr="00114B68">
        <w:rPr>
          <w:rFonts w:ascii="Segoe UI" w:hAnsi="Segoe UI" w:cs="Segoe UI"/>
        </w:rPr>
        <w:t>% en mai contre -18,8</w:t>
      </w:r>
      <w:r>
        <w:rPr>
          <w:rFonts w:ascii="Segoe UI" w:hAnsi="Segoe UI" w:cs="Segoe UI"/>
        </w:rPr>
        <w:t> </w:t>
      </w:r>
      <w:r w:rsidRPr="00114B68">
        <w:rPr>
          <w:rFonts w:ascii="Segoe UI" w:hAnsi="Segoe UI" w:cs="Segoe UI"/>
        </w:rPr>
        <w:t>% en avril). Il convient de souligner le rôle joué par les entités publiques (-1,9</w:t>
      </w:r>
      <w:r w:rsidR="0067382C">
        <w:rPr>
          <w:rFonts w:ascii="Segoe UI" w:hAnsi="Segoe UI" w:cs="Segoe UI"/>
        </w:rPr>
        <w:t> </w:t>
      </w:r>
      <w:r w:rsidRPr="00114B68">
        <w:rPr>
          <w:rFonts w:ascii="Segoe UI" w:hAnsi="Segoe UI" w:cs="Segoe UI"/>
        </w:rPr>
        <w:t>% en mai contre -7</w:t>
      </w:r>
      <w:r w:rsidR="0067382C">
        <w:rPr>
          <w:rFonts w:ascii="Segoe UI" w:hAnsi="Segoe UI" w:cs="Segoe UI"/>
        </w:rPr>
        <w:t> </w:t>
      </w:r>
      <w:r w:rsidRPr="00114B68">
        <w:rPr>
          <w:rFonts w:ascii="Segoe UI" w:hAnsi="Segoe UI" w:cs="Segoe UI"/>
        </w:rPr>
        <w:t>% en avril), alors que les investisse</w:t>
      </w:r>
      <w:r w:rsidR="0067382C">
        <w:rPr>
          <w:rFonts w:ascii="Segoe UI" w:hAnsi="Segoe UI" w:cs="Segoe UI"/>
        </w:rPr>
        <w:t xml:space="preserve">ments privés se sont contractés de </w:t>
      </w:r>
      <w:r w:rsidRPr="00114B68">
        <w:rPr>
          <w:rFonts w:ascii="Segoe UI" w:hAnsi="Segoe UI" w:cs="Segoe UI"/>
        </w:rPr>
        <w:t>9,6</w:t>
      </w:r>
      <w:r w:rsidR="0067382C">
        <w:rPr>
          <w:rFonts w:ascii="Segoe UI" w:hAnsi="Segoe UI" w:cs="Segoe UI"/>
        </w:rPr>
        <w:t> </w:t>
      </w:r>
      <w:r w:rsidRPr="00114B68">
        <w:rPr>
          <w:rFonts w:ascii="Segoe UI" w:hAnsi="Segoe UI" w:cs="Segoe UI"/>
        </w:rPr>
        <w:t>% en mai, après -13,3</w:t>
      </w:r>
      <w:r w:rsidR="0067382C">
        <w:rPr>
          <w:rFonts w:ascii="Segoe UI" w:hAnsi="Segoe UI" w:cs="Segoe UI"/>
        </w:rPr>
        <w:t> </w:t>
      </w:r>
      <w:r w:rsidRPr="00114B68">
        <w:rPr>
          <w:rFonts w:ascii="Segoe UI" w:hAnsi="Segoe UI" w:cs="Segoe UI"/>
        </w:rPr>
        <w:t>% en avril.</w:t>
      </w:r>
    </w:p>
    <w:p w:rsidR="004B0C66" w:rsidRDefault="0067382C" w:rsidP="007D3F4F">
      <w:pPr>
        <w:autoSpaceDE w:val="0"/>
        <w:autoSpaceDN w:val="0"/>
        <w:spacing w:before="100" w:after="100" w:line="240" w:lineRule="auto"/>
        <w:jc w:val="both"/>
        <w:rPr>
          <w:rFonts w:ascii="Segoe UI" w:hAnsi="Segoe UI" w:cs="Segoe UI"/>
        </w:rPr>
      </w:pPr>
      <w:r w:rsidRPr="004B0C66">
        <w:rPr>
          <w:rFonts w:ascii="Segoe UI" w:hAnsi="Segoe UI" w:cs="Segoe UI"/>
          <w:color w:val="006CE5"/>
        </w:rPr>
        <w:t>Le taux de chômage urbain</w:t>
      </w:r>
      <w:r w:rsidR="00AC2EA8" w:rsidRPr="004B0C66">
        <w:rPr>
          <w:rFonts w:ascii="Segoe UI" w:hAnsi="Segoe UI" w:cs="Segoe UI"/>
          <w:color w:val="006CE5"/>
        </w:rPr>
        <w:t xml:space="preserve"> s’</w:t>
      </w:r>
      <w:r w:rsidRPr="004B0C66">
        <w:rPr>
          <w:rFonts w:ascii="Segoe UI" w:hAnsi="Segoe UI" w:cs="Segoe UI"/>
          <w:color w:val="006CE5"/>
        </w:rPr>
        <w:t>est légèrement abaissé en mai : 5,9 %</w:t>
      </w:r>
      <w:r w:rsidRPr="0067382C">
        <w:rPr>
          <w:rFonts w:ascii="Segoe UI" w:hAnsi="Segoe UI" w:cs="Segoe UI"/>
        </w:rPr>
        <w:t xml:space="preserve"> contre 6,0</w:t>
      </w:r>
      <w:r>
        <w:rPr>
          <w:rFonts w:ascii="Segoe UI" w:hAnsi="Segoe UI" w:cs="Segoe UI"/>
        </w:rPr>
        <w:t> </w:t>
      </w:r>
      <w:r w:rsidRPr="0067382C">
        <w:rPr>
          <w:rFonts w:ascii="Segoe UI" w:hAnsi="Segoe UI" w:cs="Segoe UI"/>
        </w:rPr>
        <w:t>% en avril</w:t>
      </w:r>
      <w:r w:rsidR="004B0C66">
        <w:rPr>
          <w:rFonts w:ascii="Segoe UI" w:hAnsi="Segoe UI" w:cs="Segoe UI"/>
        </w:rPr>
        <w:t xml:space="preserve"> (cet indicateur ne reflète qu’imparfaitement la situation réelle du marché du travail). </w:t>
      </w:r>
      <w:r w:rsidRPr="0067382C">
        <w:rPr>
          <w:rFonts w:ascii="Segoe UI" w:hAnsi="Segoe UI" w:cs="Segoe UI"/>
        </w:rPr>
        <w:t>Entre janvier et mai 2020, les nouveau</w:t>
      </w:r>
      <w:r w:rsidR="00AC2EA8">
        <w:rPr>
          <w:rFonts w:ascii="Segoe UI" w:hAnsi="Segoe UI" w:cs="Segoe UI"/>
        </w:rPr>
        <w:t>x emplois créés ont atteint 4,60 millions</w:t>
      </w:r>
      <w:r w:rsidRPr="0067382C">
        <w:rPr>
          <w:rFonts w:ascii="Segoe UI" w:hAnsi="Segoe UI" w:cs="Segoe UI"/>
        </w:rPr>
        <w:t>, soit une baisse de 1,</w:t>
      </w:r>
      <w:r w:rsidR="00AC2EA8">
        <w:rPr>
          <w:rFonts w:ascii="Segoe UI" w:hAnsi="Segoe UI" w:cs="Segoe UI"/>
        </w:rPr>
        <w:t>37 million</w:t>
      </w:r>
      <w:r w:rsidRPr="0067382C">
        <w:rPr>
          <w:rFonts w:ascii="Segoe UI" w:hAnsi="Segoe UI" w:cs="Segoe UI"/>
        </w:rPr>
        <w:t xml:space="preserve"> p</w:t>
      </w:r>
      <w:r w:rsidR="004B0C66">
        <w:rPr>
          <w:rFonts w:ascii="Segoe UI" w:hAnsi="Segoe UI" w:cs="Segoe UI"/>
        </w:rPr>
        <w:t xml:space="preserve">ar rapport à la même période en </w:t>
      </w:r>
      <w:r w:rsidRPr="0067382C">
        <w:rPr>
          <w:rFonts w:ascii="Segoe UI" w:hAnsi="Segoe UI" w:cs="Segoe UI"/>
        </w:rPr>
        <w:t>2019. Pour mémoire, à défaut d’un objectif de croissance explicite, le gouvernement chinois se focalise sur la stab</w:t>
      </w:r>
      <w:r w:rsidR="004B0C66">
        <w:rPr>
          <w:rFonts w:ascii="Segoe UI" w:hAnsi="Segoe UI" w:cs="Segoe UI"/>
        </w:rPr>
        <w:t xml:space="preserve">ilisation du marché de l’emploi avec un objectif de création de 9 millions </w:t>
      </w:r>
      <w:r w:rsidRPr="0067382C">
        <w:rPr>
          <w:rFonts w:ascii="Segoe UI" w:hAnsi="Segoe UI" w:cs="Segoe UI"/>
        </w:rPr>
        <w:t>de nouveaux emplois</w:t>
      </w:r>
      <w:r w:rsidR="004B0C66">
        <w:rPr>
          <w:rFonts w:ascii="Segoe UI" w:hAnsi="Segoe UI" w:cs="Segoe UI"/>
        </w:rPr>
        <w:t xml:space="preserve"> pour l’année 2020, </w:t>
      </w:r>
      <w:r w:rsidRPr="0067382C">
        <w:rPr>
          <w:rFonts w:ascii="Segoe UI" w:hAnsi="Segoe UI" w:cs="Segoe UI"/>
        </w:rPr>
        <w:t xml:space="preserve">fixé lors </w:t>
      </w:r>
      <w:r w:rsidR="004B0C66">
        <w:rPr>
          <w:rFonts w:ascii="Segoe UI" w:hAnsi="Segoe UI" w:cs="Segoe UI"/>
        </w:rPr>
        <w:t xml:space="preserve">des </w:t>
      </w:r>
      <w:r w:rsidR="004B0C66" w:rsidRPr="004D284A">
        <w:rPr>
          <w:rFonts w:ascii="Segoe UI" w:hAnsi="Segoe UI" w:cs="Segoe UI"/>
          <w:i/>
        </w:rPr>
        <w:t>Lianghui</w:t>
      </w:r>
      <w:r w:rsidR="004B0C66">
        <w:rPr>
          <w:rFonts w:ascii="Segoe UI" w:hAnsi="Segoe UI" w:cs="Segoe UI"/>
        </w:rPr>
        <w:t xml:space="preserve"> (contre 11 millions</w:t>
      </w:r>
      <w:r w:rsidRPr="0067382C">
        <w:rPr>
          <w:rFonts w:ascii="Segoe UI" w:hAnsi="Segoe UI" w:cs="Segoe UI"/>
        </w:rPr>
        <w:t xml:space="preserve"> en 2019).</w:t>
      </w:r>
      <w:r w:rsidR="004B0C66">
        <w:rPr>
          <w:rFonts w:ascii="Segoe UI" w:hAnsi="Segoe UI" w:cs="Segoe UI"/>
        </w:rPr>
        <w:t xml:space="preserve"> (</w:t>
      </w:r>
      <w:hyperlink r:id="rId17" w:history="1">
        <w:r w:rsidR="004B0C66" w:rsidRPr="000C3385">
          <w:rPr>
            <w:rStyle w:val="Lienhypertexte"/>
            <w:rFonts w:ascii="Segoe UI" w:hAnsi="Segoe UI" w:cs="Segoe UI"/>
            <w:i/>
          </w:rPr>
          <w:t>Caixin</w:t>
        </w:r>
      </w:hyperlink>
      <w:r w:rsidR="004B0C66">
        <w:rPr>
          <w:rFonts w:ascii="Segoe UI" w:hAnsi="Segoe UI" w:cs="Segoe UI"/>
        </w:rPr>
        <w:t>)</w:t>
      </w:r>
    </w:p>
    <w:p w:rsidR="004B0C66" w:rsidRDefault="002C43D6" w:rsidP="007D3F4F">
      <w:pPr>
        <w:autoSpaceDE w:val="0"/>
        <w:autoSpaceDN w:val="0"/>
        <w:spacing w:before="100" w:after="100" w:line="240" w:lineRule="auto"/>
        <w:jc w:val="both"/>
        <w:rPr>
          <w:rFonts w:ascii="Segoe UI" w:hAnsi="Segoe UI" w:cs="Segoe UI"/>
        </w:rPr>
      </w:pPr>
      <w:r w:rsidRPr="009564C6">
        <w:rPr>
          <w:rFonts w:ascii="Segoe UI" w:hAnsi="Segoe UI" w:cs="Segoe UI"/>
          <w:color w:val="006CE5"/>
        </w:rPr>
        <w:t xml:space="preserve">Les investissements immobiliers </w:t>
      </w:r>
      <w:r w:rsidR="009564C6" w:rsidRPr="009564C6">
        <w:rPr>
          <w:rFonts w:ascii="Segoe UI" w:hAnsi="Segoe UI" w:cs="Segoe UI"/>
          <w:color w:val="006CE5"/>
        </w:rPr>
        <w:t>ont continué</w:t>
      </w:r>
      <w:r w:rsidRPr="009564C6">
        <w:rPr>
          <w:rFonts w:ascii="Segoe UI" w:hAnsi="Segoe UI" w:cs="Segoe UI"/>
          <w:color w:val="006CE5"/>
        </w:rPr>
        <w:t xml:space="preserve"> leur reprise en ma</w:t>
      </w:r>
      <w:r w:rsidR="009564C6" w:rsidRPr="009564C6">
        <w:rPr>
          <w:rFonts w:ascii="Segoe UI" w:hAnsi="Segoe UI" w:cs="Segoe UI"/>
          <w:color w:val="006CE5"/>
        </w:rPr>
        <w:t>i</w:t>
      </w:r>
      <w:r w:rsidR="000C3385">
        <w:rPr>
          <w:rFonts w:ascii="Segoe UI" w:hAnsi="Segoe UI" w:cs="Segoe UI"/>
          <w:color w:val="006CE5"/>
        </w:rPr>
        <w:t xml:space="preserve"> </w:t>
      </w:r>
      <w:r w:rsidR="009564C6">
        <w:rPr>
          <w:rFonts w:ascii="Segoe UI" w:hAnsi="Segoe UI" w:cs="Segoe UI"/>
          <w:color w:val="006CE5"/>
        </w:rPr>
        <w:t xml:space="preserve">avec une </w:t>
      </w:r>
      <w:r w:rsidR="009564C6" w:rsidRPr="009564C6">
        <w:rPr>
          <w:rFonts w:ascii="Segoe UI" w:hAnsi="Segoe UI" w:cs="Segoe UI"/>
          <w:color w:val="006CE5"/>
        </w:rPr>
        <w:t>contraction de</w:t>
      </w:r>
      <w:r w:rsidR="009564C6">
        <w:rPr>
          <w:rFonts w:ascii="Segoe UI" w:hAnsi="Segoe UI" w:cs="Segoe UI"/>
          <w:color w:val="006CE5"/>
        </w:rPr>
        <w:t xml:space="preserve"> seulement</w:t>
      </w:r>
      <w:r w:rsidR="009564C6" w:rsidRPr="009564C6">
        <w:rPr>
          <w:rFonts w:ascii="Segoe UI" w:hAnsi="Segoe UI" w:cs="Segoe UI"/>
          <w:color w:val="006CE5"/>
        </w:rPr>
        <w:t xml:space="preserve"> </w:t>
      </w:r>
      <w:r w:rsidRPr="009564C6">
        <w:rPr>
          <w:rFonts w:ascii="Segoe UI" w:hAnsi="Segoe UI" w:cs="Segoe UI"/>
          <w:color w:val="006CE5"/>
        </w:rPr>
        <w:t>0,3</w:t>
      </w:r>
      <w:r w:rsidR="009564C6" w:rsidRPr="009564C6">
        <w:rPr>
          <w:rFonts w:ascii="Segoe UI" w:hAnsi="Segoe UI" w:cs="Segoe UI"/>
          <w:color w:val="006CE5"/>
        </w:rPr>
        <w:t> %</w:t>
      </w:r>
      <w:r w:rsidR="009564C6">
        <w:rPr>
          <w:rFonts w:ascii="Segoe UI" w:hAnsi="Segoe UI" w:cs="Segoe UI"/>
        </w:rPr>
        <w:t xml:space="preserve"> </w:t>
      </w:r>
      <w:r w:rsidR="009564C6">
        <w:rPr>
          <w:rFonts w:ascii="Segoe UI" w:hAnsi="Segoe UI" w:cs="Segoe UI"/>
          <w:color w:val="006CE5"/>
        </w:rPr>
        <w:t>par rapport à mai 2019</w:t>
      </w:r>
      <w:r w:rsidR="009564C6">
        <w:rPr>
          <w:rFonts w:ascii="Segoe UI" w:hAnsi="Segoe UI" w:cs="Segoe UI"/>
        </w:rPr>
        <w:t xml:space="preserve"> (</w:t>
      </w:r>
      <w:r w:rsidRPr="002C43D6">
        <w:rPr>
          <w:rFonts w:ascii="Segoe UI" w:hAnsi="Segoe UI" w:cs="Segoe UI"/>
        </w:rPr>
        <w:t>-3,3</w:t>
      </w:r>
      <w:r w:rsidR="009564C6">
        <w:rPr>
          <w:rFonts w:ascii="Segoe UI" w:hAnsi="Segoe UI" w:cs="Segoe UI"/>
        </w:rPr>
        <w:t> </w:t>
      </w:r>
      <w:r w:rsidRPr="002C43D6">
        <w:rPr>
          <w:rFonts w:ascii="Segoe UI" w:hAnsi="Segoe UI" w:cs="Segoe UI"/>
        </w:rPr>
        <w:t>% en avril</w:t>
      </w:r>
      <w:r w:rsidR="009564C6">
        <w:rPr>
          <w:rFonts w:ascii="Segoe UI" w:hAnsi="Segoe UI" w:cs="Segoe UI"/>
        </w:rPr>
        <w:t>)</w:t>
      </w:r>
      <w:r w:rsidRPr="002C43D6">
        <w:rPr>
          <w:rFonts w:ascii="Segoe UI" w:hAnsi="Segoe UI" w:cs="Segoe UI"/>
        </w:rPr>
        <w:t>. Les ventes immobilières en termes d’espace et en termes de chiffre d’affaires se sont également moins con</w:t>
      </w:r>
      <w:r w:rsidR="002C54EA">
        <w:rPr>
          <w:rFonts w:ascii="Segoe UI" w:hAnsi="Segoe UI" w:cs="Segoe UI"/>
        </w:rPr>
        <w:t xml:space="preserve">tractées en mai </w:t>
      </w:r>
      <w:r w:rsidR="009564C6">
        <w:rPr>
          <w:rFonts w:ascii="Segoe UI" w:hAnsi="Segoe UI" w:cs="Segoe UI"/>
        </w:rPr>
        <w:t>(</w:t>
      </w:r>
      <w:r w:rsidRPr="002C43D6">
        <w:rPr>
          <w:rFonts w:ascii="Segoe UI" w:hAnsi="Segoe UI" w:cs="Segoe UI"/>
        </w:rPr>
        <w:t>respectivement -12,3</w:t>
      </w:r>
      <w:r w:rsidR="009564C6">
        <w:rPr>
          <w:rFonts w:ascii="Segoe UI" w:hAnsi="Segoe UI" w:cs="Segoe UI"/>
        </w:rPr>
        <w:t> </w:t>
      </w:r>
      <w:r w:rsidRPr="002C43D6">
        <w:rPr>
          <w:rFonts w:ascii="Segoe UI" w:hAnsi="Segoe UI" w:cs="Segoe UI"/>
        </w:rPr>
        <w:t>% contre -19,3</w:t>
      </w:r>
      <w:r w:rsidR="009564C6">
        <w:rPr>
          <w:rFonts w:ascii="Segoe UI" w:hAnsi="Segoe UI" w:cs="Segoe UI"/>
        </w:rPr>
        <w:t> % et</w:t>
      </w:r>
      <w:r w:rsidRPr="002C43D6">
        <w:rPr>
          <w:rFonts w:ascii="Segoe UI" w:hAnsi="Segoe UI" w:cs="Segoe UI"/>
        </w:rPr>
        <w:t xml:space="preserve"> -10,6</w:t>
      </w:r>
      <w:r w:rsidR="009564C6">
        <w:rPr>
          <w:rFonts w:ascii="Segoe UI" w:hAnsi="Segoe UI" w:cs="Segoe UI"/>
        </w:rPr>
        <w:t> </w:t>
      </w:r>
      <w:r w:rsidRPr="002C43D6">
        <w:rPr>
          <w:rFonts w:ascii="Segoe UI" w:hAnsi="Segoe UI" w:cs="Segoe UI"/>
        </w:rPr>
        <w:t>% contre -18,6</w:t>
      </w:r>
      <w:r w:rsidR="009564C6">
        <w:rPr>
          <w:rFonts w:ascii="Segoe UI" w:hAnsi="Segoe UI" w:cs="Segoe UI"/>
        </w:rPr>
        <w:t> </w:t>
      </w:r>
      <w:r w:rsidR="000C3385">
        <w:rPr>
          <w:rFonts w:ascii="Segoe UI" w:hAnsi="Segoe UI" w:cs="Segoe UI"/>
        </w:rPr>
        <w:t xml:space="preserve">% </w:t>
      </w:r>
      <w:r w:rsidRPr="002C43D6">
        <w:rPr>
          <w:rFonts w:ascii="Segoe UI" w:hAnsi="Segoe UI" w:cs="Segoe UI"/>
        </w:rPr>
        <w:t>en avril).</w:t>
      </w:r>
    </w:p>
    <w:p w:rsidR="00BA3AA9" w:rsidRDefault="00BA3AA9" w:rsidP="007D3F4F">
      <w:pPr>
        <w:autoSpaceDE w:val="0"/>
        <w:autoSpaceDN w:val="0"/>
        <w:spacing w:before="100" w:after="100" w:line="240" w:lineRule="auto"/>
        <w:jc w:val="both"/>
        <w:rPr>
          <w:rFonts w:ascii="Segoe UI" w:hAnsi="Segoe UI" w:cs="Segoe UI"/>
        </w:rPr>
      </w:pPr>
      <w:r w:rsidRPr="00BA3AA9">
        <w:rPr>
          <w:rFonts w:ascii="Segoe UI" w:hAnsi="Segoe UI" w:cs="Segoe UI"/>
          <w:color w:val="006CE5"/>
        </w:rPr>
        <w:t>L</w:t>
      </w:r>
      <w:r w:rsidR="009564C6" w:rsidRPr="00BA3AA9">
        <w:rPr>
          <w:rFonts w:ascii="Segoe UI" w:hAnsi="Segoe UI" w:cs="Segoe UI"/>
          <w:color w:val="006CE5"/>
        </w:rPr>
        <w:t xml:space="preserve">e ministère des Finances (MoF) a publié un </w:t>
      </w:r>
      <w:hyperlink r:id="rId18" w:history="1">
        <w:r w:rsidR="009564C6" w:rsidRPr="00572199">
          <w:rPr>
            <w:rStyle w:val="Lienhypertexte"/>
            <w:rFonts w:ascii="Segoe UI" w:hAnsi="Segoe UI" w:cs="Segoe UI"/>
          </w:rPr>
          <w:t>communiqué</w:t>
        </w:r>
      </w:hyperlink>
      <w:r w:rsidR="009564C6" w:rsidRPr="00BA3AA9">
        <w:rPr>
          <w:rFonts w:ascii="Segoe UI" w:hAnsi="Segoe UI" w:cs="Segoe UI"/>
          <w:color w:val="006CE5"/>
        </w:rPr>
        <w:t xml:space="preserve"> annonçant les premières émissions de </w:t>
      </w:r>
      <w:r w:rsidR="009564C6" w:rsidRPr="002C54EA">
        <w:rPr>
          <w:rFonts w:ascii="Segoe UI" w:hAnsi="Segoe UI" w:cs="Segoe UI"/>
          <w:i/>
          <w:color w:val="006CE5"/>
        </w:rPr>
        <w:t>Special Central Government Bonds</w:t>
      </w:r>
      <w:r w:rsidR="009564C6" w:rsidRPr="009564C6">
        <w:rPr>
          <w:rFonts w:ascii="Segoe UI" w:hAnsi="Segoe UI" w:cs="Segoe UI"/>
        </w:rPr>
        <w:t xml:space="preserve"> (</w:t>
      </w:r>
      <w:r w:rsidR="009564C6" w:rsidRPr="00BA3AA9">
        <w:rPr>
          <w:rFonts w:ascii="Segoe UI" w:hAnsi="Segoe UI" w:cs="Segoe UI"/>
          <w:i/>
        </w:rPr>
        <w:t>Special CGB</w:t>
      </w:r>
      <w:r w:rsidR="009564C6" w:rsidRPr="009564C6">
        <w:rPr>
          <w:rFonts w:ascii="Segoe UI" w:hAnsi="Segoe UI" w:cs="Segoe UI"/>
        </w:rPr>
        <w:t>) à partir du 18 juin : 50</w:t>
      </w:r>
      <w:r w:rsidR="000C3385">
        <w:rPr>
          <w:rFonts w:ascii="Segoe UI" w:hAnsi="Segoe UI" w:cs="Segoe UI"/>
        </w:rPr>
        <w:t> </w:t>
      </w:r>
      <w:r w:rsidR="009564C6" w:rsidRPr="009564C6">
        <w:rPr>
          <w:rFonts w:ascii="Segoe UI" w:hAnsi="Segoe UI" w:cs="Segoe UI"/>
        </w:rPr>
        <w:t>Md</w:t>
      </w:r>
      <w:r w:rsidR="000C3385">
        <w:rPr>
          <w:rFonts w:ascii="Segoe UI" w:hAnsi="Segoe UI" w:cs="Segoe UI"/>
        </w:rPr>
        <w:t> </w:t>
      </w:r>
      <w:r w:rsidR="009564C6" w:rsidRPr="009564C6">
        <w:rPr>
          <w:rFonts w:ascii="Segoe UI" w:hAnsi="Segoe UI" w:cs="Segoe UI"/>
        </w:rPr>
        <w:t>RMB pour une maturité de 5 ans et 50</w:t>
      </w:r>
      <w:r w:rsidR="000C3385">
        <w:rPr>
          <w:rFonts w:ascii="Segoe UI" w:hAnsi="Segoe UI" w:cs="Segoe UI"/>
        </w:rPr>
        <w:t> </w:t>
      </w:r>
      <w:r w:rsidR="009564C6" w:rsidRPr="009564C6">
        <w:rPr>
          <w:rFonts w:ascii="Segoe UI" w:hAnsi="Segoe UI" w:cs="Segoe UI"/>
        </w:rPr>
        <w:t>Md</w:t>
      </w:r>
      <w:r w:rsidR="000C3385">
        <w:rPr>
          <w:rFonts w:ascii="Segoe UI" w:hAnsi="Segoe UI" w:cs="Segoe UI"/>
        </w:rPr>
        <w:t> </w:t>
      </w:r>
      <w:r w:rsidR="009564C6" w:rsidRPr="009564C6">
        <w:rPr>
          <w:rFonts w:ascii="Segoe UI" w:hAnsi="Segoe UI" w:cs="Segoe UI"/>
        </w:rPr>
        <w:t xml:space="preserve">RMB pour 7 ans. Pour mémoire, le recours aux </w:t>
      </w:r>
      <w:r w:rsidR="009564C6" w:rsidRPr="00BA3AA9">
        <w:rPr>
          <w:rFonts w:ascii="Segoe UI" w:hAnsi="Segoe UI" w:cs="Segoe UI"/>
          <w:i/>
        </w:rPr>
        <w:t>Special CGB</w:t>
      </w:r>
      <w:r w:rsidR="009564C6" w:rsidRPr="009564C6">
        <w:rPr>
          <w:rFonts w:ascii="Segoe UI" w:hAnsi="Segoe UI" w:cs="Segoe UI"/>
        </w:rPr>
        <w:t xml:space="preserve"> pour un montant minorant de 1</w:t>
      </w:r>
      <w:r w:rsidR="000C3385">
        <w:rPr>
          <w:rFonts w:ascii="Segoe UI" w:hAnsi="Segoe UI" w:cs="Segoe UI"/>
        </w:rPr>
        <w:t> </w:t>
      </w:r>
      <w:r w:rsidR="009564C6" w:rsidRPr="009564C6">
        <w:rPr>
          <w:rFonts w:ascii="Segoe UI" w:hAnsi="Segoe UI" w:cs="Segoe UI"/>
        </w:rPr>
        <w:t>000</w:t>
      </w:r>
      <w:r w:rsidR="000C3385">
        <w:rPr>
          <w:rFonts w:ascii="Segoe UI" w:hAnsi="Segoe UI" w:cs="Segoe UI"/>
        </w:rPr>
        <w:t> </w:t>
      </w:r>
      <w:r w:rsidR="009564C6" w:rsidRPr="009564C6">
        <w:rPr>
          <w:rFonts w:ascii="Segoe UI" w:hAnsi="Segoe UI" w:cs="Segoe UI"/>
        </w:rPr>
        <w:t>Md</w:t>
      </w:r>
      <w:r w:rsidR="000C3385">
        <w:rPr>
          <w:rFonts w:ascii="Segoe UI" w:hAnsi="Segoe UI" w:cs="Segoe UI"/>
        </w:rPr>
        <w:t> </w:t>
      </w:r>
      <w:r w:rsidR="009564C6" w:rsidRPr="009564C6">
        <w:rPr>
          <w:rFonts w:ascii="Segoe UI" w:hAnsi="Segoe UI" w:cs="Segoe UI"/>
        </w:rPr>
        <w:t xml:space="preserve">RMB a </w:t>
      </w:r>
      <w:r>
        <w:rPr>
          <w:rFonts w:ascii="Segoe UI" w:hAnsi="Segoe UI" w:cs="Segoe UI"/>
        </w:rPr>
        <w:t xml:space="preserve">été annoncé lors des </w:t>
      </w:r>
      <w:r w:rsidR="000C3385">
        <w:rPr>
          <w:rFonts w:ascii="Segoe UI" w:hAnsi="Segoe UI" w:cs="Segoe UI"/>
          <w:i/>
        </w:rPr>
        <w:t>l</w:t>
      </w:r>
      <w:r w:rsidRPr="004D284A">
        <w:rPr>
          <w:rFonts w:ascii="Segoe UI" w:hAnsi="Segoe UI" w:cs="Segoe UI"/>
          <w:i/>
        </w:rPr>
        <w:t>ianghui</w:t>
      </w:r>
      <w:r>
        <w:rPr>
          <w:rFonts w:ascii="Segoe UI" w:hAnsi="Segoe UI" w:cs="Segoe UI"/>
        </w:rPr>
        <w:t xml:space="preserve"> </w:t>
      </w:r>
      <w:r w:rsidR="005F64E6">
        <w:rPr>
          <w:rFonts w:ascii="Segoe UI" w:hAnsi="Segoe UI" w:cs="Segoe UI"/>
        </w:rPr>
        <w:t xml:space="preserve">fin mai, l’objectif étant </w:t>
      </w:r>
      <w:r w:rsidR="009564C6" w:rsidRPr="009564C6">
        <w:rPr>
          <w:rFonts w:ascii="Segoe UI" w:hAnsi="Segoe UI" w:cs="Segoe UI"/>
        </w:rPr>
        <w:t>de renforcer l’arsenal de mesures de soutien financier destinées à facil</w:t>
      </w:r>
      <w:r>
        <w:rPr>
          <w:rFonts w:ascii="Segoe UI" w:hAnsi="Segoe UI" w:cs="Segoe UI"/>
        </w:rPr>
        <w:t xml:space="preserve">iter la reprise économique, et </w:t>
      </w:r>
      <w:r w:rsidR="009564C6" w:rsidRPr="009564C6">
        <w:rPr>
          <w:rFonts w:ascii="Segoe UI" w:hAnsi="Segoe UI" w:cs="Segoe UI"/>
        </w:rPr>
        <w:t>d’affecter cette enveloppe en totalité aux gouvernements locaux</w:t>
      </w:r>
      <w:r w:rsidR="004D284A">
        <w:rPr>
          <w:rFonts w:ascii="Segoe UI" w:hAnsi="Segoe UI" w:cs="Segoe UI"/>
        </w:rPr>
        <w:t xml:space="preserve"> (</w:t>
      </w:r>
      <w:hyperlink r:id="rId19" w:history="1">
        <w:r w:rsidR="004D284A" w:rsidRPr="000C3385">
          <w:rPr>
            <w:rStyle w:val="Lienhypertexte"/>
            <w:rFonts w:ascii="Segoe UI" w:hAnsi="Segoe UI" w:cs="Segoe UI"/>
            <w:i/>
          </w:rPr>
          <w:t>Xinhua</w:t>
        </w:r>
      </w:hyperlink>
      <w:r w:rsidR="004D284A">
        <w:rPr>
          <w:rFonts w:ascii="Segoe UI" w:hAnsi="Segoe UI" w:cs="Segoe UI"/>
        </w:rPr>
        <w:t>)</w:t>
      </w:r>
      <w:r w:rsidR="000C3385">
        <w:rPr>
          <w:rFonts w:ascii="Segoe UI" w:hAnsi="Segoe UI" w:cs="Segoe UI"/>
        </w:rPr>
        <w:t>.</w:t>
      </w:r>
    </w:p>
    <w:p w:rsidR="00BA3AA9" w:rsidRDefault="00BA3AA9" w:rsidP="007D3F4F">
      <w:pPr>
        <w:autoSpaceDE w:val="0"/>
        <w:autoSpaceDN w:val="0"/>
        <w:spacing w:before="100" w:after="100" w:line="240" w:lineRule="auto"/>
        <w:jc w:val="both"/>
        <w:rPr>
          <w:rFonts w:ascii="Segoe UI" w:hAnsi="Segoe UI" w:cs="Segoe UI"/>
        </w:rPr>
      </w:pPr>
      <w:r w:rsidRPr="00BA3AA9">
        <w:rPr>
          <w:rFonts w:ascii="Segoe UI" w:hAnsi="Segoe UI" w:cs="Segoe UI"/>
          <w:color w:val="006CE5"/>
        </w:rPr>
        <w:t>L’</w:t>
      </w:r>
      <w:r w:rsidRPr="000C3385">
        <w:rPr>
          <w:rFonts w:ascii="Segoe UI" w:hAnsi="Segoe UI" w:cs="Segoe UI"/>
          <w:i/>
          <w:color w:val="006CE5"/>
        </w:rPr>
        <w:t>Asian Infrastructure Investment Bank</w:t>
      </w:r>
      <w:r w:rsidRPr="00BA3AA9">
        <w:rPr>
          <w:rFonts w:ascii="Segoe UI" w:hAnsi="Segoe UI" w:cs="Segoe UI"/>
          <w:color w:val="006CE5"/>
        </w:rPr>
        <w:t xml:space="preserve"> (AIIB) a émis le 11</w:t>
      </w:r>
      <w:r w:rsidR="000C3385">
        <w:rPr>
          <w:rFonts w:ascii="Segoe UI" w:hAnsi="Segoe UI" w:cs="Segoe UI"/>
          <w:color w:val="006CE5"/>
        </w:rPr>
        <w:t xml:space="preserve"> juin son </w:t>
      </w:r>
      <w:r w:rsidRPr="00BA3AA9">
        <w:rPr>
          <w:rFonts w:ascii="Segoe UI" w:hAnsi="Segoe UI" w:cs="Segoe UI"/>
          <w:color w:val="006CE5"/>
        </w:rPr>
        <w:t xml:space="preserve">premier </w:t>
      </w:r>
      <w:r w:rsidRPr="00BA3AA9">
        <w:rPr>
          <w:rFonts w:ascii="Segoe UI" w:hAnsi="Segoe UI" w:cs="Segoe UI"/>
          <w:i/>
          <w:color w:val="006CE5"/>
        </w:rPr>
        <w:t>Panda Bond</w:t>
      </w:r>
      <w:r w:rsidRPr="00BA3AA9">
        <w:rPr>
          <w:rFonts w:ascii="Segoe UI" w:hAnsi="Segoe UI" w:cs="Segoe UI"/>
        </w:rPr>
        <w:t xml:space="preserve"> (des obligations libellées en yuan vendues par des émetteurs n</w:t>
      </w:r>
      <w:r>
        <w:rPr>
          <w:rFonts w:ascii="Segoe UI" w:hAnsi="Segoe UI" w:cs="Segoe UI"/>
        </w:rPr>
        <w:t>on chinois en Chine) pour 3 Md </w:t>
      </w:r>
      <w:r w:rsidRPr="00BA3AA9">
        <w:rPr>
          <w:rFonts w:ascii="Segoe UI" w:hAnsi="Segoe UI" w:cs="Segoe UI"/>
        </w:rPr>
        <w:t>RMB (425</w:t>
      </w:r>
      <w:r>
        <w:rPr>
          <w:rFonts w:ascii="Segoe UI" w:hAnsi="Segoe UI" w:cs="Segoe UI"/>
        </w:rPr>
        <w:t> M</w:t>
      </w:r>
      <w:r w:rsidR="000C3385">
        <w:rPr>
          <w:rFonts w:ascii="Segoe UI" w:hAnsi="Segoe UI" w:cs="Segoe UI"/>
        </w:rPr>
        <w:t>. </w:t>
      </w:r>
      <w:r w:rsidRPr="00BA3AA9">
        <w:rPr>
          <w:rFonts w:ascii="Segoe UI" w:hAnsi="Segoe UI" w:cs="Segoe UI"/>
        </w:rPr>
        <w:t xml:space="preserve">USD) sur le marché interbancaire chinois pour soutenir la lutte des pays membres contre la pandémie de </w:t>
      </w:r>
      <w:r w:rsidR="000C3385">
        <w:rPr>
          <w:rFonts w:ascii="Segoe UI" w:hAnsi="Segoe UI" w:cs="Segoe UI"/>
        </w:rPr>
        <w:t>COVID-19</w:t>
      </w:r>
      <w:r w:rsidRPr="00BA3AA9">
        <w:rPr>
          <w:rFonts w:ascii="Segoe UI" w:hAnsi="Segoe UI" w:cs="Segoe UI"/>
        </w:rPr>
        <w:t xml:space="preserve">. Ce </w:t>
      </w:r>
      <w:r w:rsidRPr="00BA3AA9">
        <w:rPr>
          <w:rFonts w:ascii="Segoe UI" w:hAnsi="Segoe UI" w:cs="Segoe UI"/>
          <w:i/>
        </w:rPr>
        <w:t>Panda Bond</w:t>
      </w:r>
      <w:r w:rsidRPr="00BA3AA9">
        <w:rPr>
          <w:rFonts w:ascii="Segoe UI" w:hAnsi="Segoe UI" w:cs="Segoe UI"/>
        </w:rPr>
        <w:t xml:space="preserve"> a une maturité de trois ans assortie d’un taux d'intérêt de 2,4</w:t>
      </w:r>
      <w:r>
        <w:rPr>
          <w:rFonts w:ascii="Segoe UI" w:hAnsi="Segoe UI" w:cs="Segoe UI"/>
        </w:rPr>
        <w:t> </w:t>
      </w:r>
      <w:r w:rsidRPr="00BA3AA9">
        <w:rPr>
          <w:rFonts w:ascii="Segoe UI" w:hAnsi="Segoe UI" w:cs="Segoe UI"/>
        </w:rPr>
        <w:t>%. Les investisseurs chinois ont souscrit 35</w:t>
      </w:r>
      <w:r w:rsidR="00572199">
        <w:rPr>
          <w:rFonts w:ascii="Segoe UI" w:hAnsi="Segoe UI" w:cs="Segoe UI"/>
        </w:rPr>
        <w:t> </w:t>
      </w:r>
      <w:r w:rsidRPr="00BA3AA9">
        <w:rPr>
          <w:rFonts w:ascii="Segoe UI" w:hAnsi="Segoe UI" w:cs="Segoe UI"/>
        </w:rPr>
        <w:t>% de l’émission tandis que les investisseurs étran</w:t>
      </w:r>
      <w:r w:rsidR="00572199">
        <w:rPr>
          <w:rFonts w:ascii="Segoe UI" w:hAnsi="Segoe UI" w:cs="Segoe UI"/>
        </w:rPr>
        <w:t>gers ont pris les 65</w:t>
      </w:r>
      <w:r w:rsidR="008E79BF">
        <w:rPr>
          <w:rFonts w:ascii="Segoe UI" w:hAnsi="Segoe UI" w:cs="Segoe UI"/>
        </w:rPr>
        <w:t> </w:t>
      </w:r>
      <w:r w:rsidR="00572199">
        <w:rPr>
          <w:rFonts w:ascii="Segoe UI" w:hAnsi="Segoe UI" w:cs="Segoe UI"/>
        </w:rPr>
        <w:t>% restants. L’</w:t>
      </w:r>
      <w:r w:rsidRPr="00BA3AA9">
        <w:rPr>
          <w:rFonts w:ascii="Segoe UI" w:hAnsi="Segoe UI" w:cs="Segoe UI"/>
        </w:rPr>
        <w:t>AIIB compte actuellement 102</w:t>
      </w:r>
      <w:r w:rsidR="000C3385">
        <w:rPr>
          <w:rFonts w:ascii="Segoe UI" w:hAnsi="Segoe UI" w:cs="Segoe UI"/>
        </w:rPr>
        <w:t> </w:t>
      </w:r>
      <w:r w:rsidRPr="00BA3AA9">
        <w:rPr>
          <w:rFonts w:ascii="Segoe UI" w:hAnsi="Segoe UI" w:cs="Segoe UI"/>
        </w:rPr>
        <w:t>membres dans le monde</w:t>
      </w:r>
      <w:r w:rsidR="00572199">
        <w:rPr>
          <w:rFonts w:ascii="Segoe UI" w:hAnsi="Segoe UI" w:cs="Segoe UI"/>
        </w:rPr>
        <w:t xml:space="preserve"> (dont la France)</w:t>
      </w:r>
      <w:r w:rsidRPr="00BA3AA9">
        <w:rPr>
          <w:rFonts w:ascii="Segoe UI" w:hAnsi="Segoe UI" w:cs="Segoe UI"/>
        </w:rPr>
        <w:t xml:space="preserve"> et a approuvé des investissements dans 71</w:t>
      </w:r>
      <w:r w:rsidR="000C3385">
        <w:rPr>
          <w:rFonts w:ascii="Segoe UI" w:hAnsi="Segoe UI" w:cs="Segoe UI"/>
        </w:rPr>
        <w:t> </w:t>
      </w:r>
      <w:r w:rsidRPr="00BA3AA9">
        <w:rPr>
          <w:rFonts w:ascii="Segoe UI" w:hAnsi="Segoe UI" w:cs="Segoe UI"/>
        </w:rPr>
        <w:t>projets totalisant près de 14,3 Mds USD.</w:t>
      </w:r>
    </w:p>
    <w:p w:rsidR="00D231B6" w:rsidRPr="00D231B6" w:rsidRDefault="008A09BD" w:rsidP="008A09BD">
      <w:pPr>
        <w:spacing w:before="100" w:after="100"/>
        <w:jc w:val="both"/>
        <w:rPr>
          <w:rFonts w:ascii="Segoe UI" w:hAnsi="Segoe UI" w:cs="Segoe UI"/>
        </w:rPr>
      </w:pPr>
      <w:r w:rsidRPr="008A09BD">
        <w:rPr>
          <w:rFonts w:ascii="Segoe UI" w:hAnsi="Segoe UI" w:cs="Segoe UI"/>
          <w:color w:val="006CE5"/>
        </w:rPr>
        <w:t>Point de situation Hubei</w:t>
      </w:r>
      <w:r w:rsidR="000C3385">
        <w:rPr>
          <w:rFonts w:ascii="Segoe UI" w:hAnsi="Segoe UI" w:cs="Segoe UI"/>
          <w:color w:val="006CE5"/>
        </w:rPr>
        <w:t> </w:t>
      </w:r>
      <w:r w:rsidRPr="008A09BD">
        <w:rPr>
          <w:rFonts w:ascii="Segoe UI" w:hAnsi="Segoe UI" w:cs="Segoe UI"/>
          <w:color w:val="006CE5"/>
        </w:rPr>
        <w:t xml:space="preserve">: </w:t>
      </w:r>
      <w:r w:rsidRPr="008A09BD">
        <w:rPr>
          <w:rFonts w:ascii="Segoe UI" w:hAnsi="Segoe UI" w:cs="Segoe UI"/>
        </w:rPr>
        <w:t>selon le bureau des statistiques de la province, 98,7</w:t>
      </w:r>
      <w:r w:rsidR="008E79BF">
        <w:rPr>
          <w:rFonts w:ascii="Segoe UI" w:hAnsi="Segoe UI" w:cs="Segoe UI"/>
        </w:rPr>
        <w:t> </w:t>
      </w:r>
      <w:r w:rsidRPr="008A09BD">
        <w:rPr>
          <w:rFonts w:ascii="Segoe UI" w:hAnsi="Segoe UI" w:cs="Segoe UI"/>
        </w:rPr>
        <w:t>% des entreprises industrielles "de taille significative" auraient relancé leurs activités au 4</w:t>
      </w:r>
      <w:r w:rsidR="008E79BF">
        <w:rPr>
          <w:rFonts w:ascii="Segoe UI" w:hAnsi="Segoe UI" w:cs="Segoe UI"/>
        </w:rPr>
        <w:t> </w:t>
      </w:r>
      <w:r w:rsidRPr="008A09BD">
        <w:rPr>
          <w:rFonts w:ascii="Segoe UI" w:hAnsi="Segoe UI" w:cs="Segoe UI"/>
        </w:rPr>
        <w:t>juin, avec un taux de reprise moyen des employés de 98,4 %. Le taux de retour en poste des employés dans les grandes entreprises est de 98,2 % pour le commerce de gros et de détail, 98,4</w:t>
      </w:r>
      <w:r w:rsidR="008E79BF">
        <w:rPr>
          <w:rFonts w:ascii="Segoe UI" w:hAnsi="Segoe UI" w:cs="Segoe UI"/>
        </w:rPr>
        <w:t> </w:t>
      </w:r>
      <w:r w:rsidRPr="008A09BD">
        <w:rPr>
          <w:rFonts w:ascii="Segoe UI" w:hAnsi="Segoe UI" w:cs="Segoe UI"/>
        </w:rPr>
        <w:t>% dans les services, 100</w:t>
      </w:r>
      <w:r w:rsidR="008E79BF">
        <w:rPr>
          <w:rFonts w:ascii="Segoe UI" w:hAnsi="Segoe UI" w:cs="Segoe UI"/>
        </w:rPr>
        <w:t> </w:t>
      </w:r>
      <w:r w:rsidRPr="008A09BD">
        <w:rPr>
          <w:rFonts w:ascii="Segoe UI" w:hAnsi="Segoe UI" w:cs="Segoe UI"/>
        </w:rPr>
        <w:t>% dans le secteur des travaux publics et 98,8</w:t>
      </w:r>
      <w:r w:rsidR="008E79BF">
        <w:rPr>
          <w:rFonts w:ascii="Segoe UI" w:hAnsi="Segoe UI" w:cs="Segoe UI"/>
        </w:rPr>
        <w:t> </w:t>
      </w:r>
      <w:r w:rsidRPr="008A09BD">
        <w:rPr>
          <w:rFonts w:ascii="Segoe UI" w:hAnsi="Segoe UI" w:cs="Segoe UI"/>
        </w:rPr>
        <w:t xml:space="preserve">% dans l’immobilier. Au plan </w:t>
      </w:r>
      <w:r w:rsidRPr="008A09BD">
        <w:rPr>
          <w:rFonts w:ascii="Segoe UI" w:hAnsi="Segoe UI" w:cs="Segoe UI"/>
        </w:rPr>
        <w:lastRenderedPageBreak/>
        <w:t xml:space="preserve">sanitaire, si le dernier patient présentant des symptômes de </w:t>
      </w:r>
      <w:r w:rsidR="008E79BF">
        <w:rPr>
          <w:rFonts w:ascii="Segoe UI" w:hAnsi="Segoe UI" w:cs="Segoe UI"/>
        </w:rPr>
        <w:t>COVID-19</w:t>
      </w:r>
      <w:r w:rsidRPr="008A09BD">
        <w:rPr>
          <w:rFonts w:ascii="Segoe UI" w:hAnsi="Segoe UI" w:cs="Segoe UI"/>
        </w:rPr>
        <w:t xml:space="preserve"> est sorti d’hôpital le 5</w:t>
      </w:r>
      <w:r w:rsidR="008E79BF">
        <w:rPr>
          <w:rFonts w:ascii="Segoe UI" w:hAnsi="Segoe UI" w:cs="Segoe UI"/>
        </w:rPr>
        <w:t> </w:t>
      </w:r>
      <w:r w:rsidRPr="008A09BD">
        <w:rPr>
          <w:rFonts w:ascii="Segoe UI" w:hAnsi="Segoe UI" w:cs="Segoe UI"/>
        </w:rPr>
        <w:t>juin et que le dernier cas asymptomatique sous observation a réalisé un test négatif le 16</w:t>
      </w:r>
      <w:r w:rsidR="008E79BF">
        <w:rPr>
          <w:rFonts w:ascii="Segoe UI" w:hAnsi="Segoe UI" w:cs="Segoe UI"/>
        </w:rPr>
        <w:t> </w:t>
      </w:r>
      <w:r w:rsidRPr="008A09BD">
        <w:rPr>
          <w:rFonts w:ascii="Segoe UI" w:hAnsi="Segoe UI" w:cs="Segoe UI"/>
        </w:rPr>
        <w:t>juin, un certain nombre de restrictions pèsent encore sur l’activité économique, notamment la fermeture continue de certains lieux publics (bibliothèques) et des salles de spectacle,  karaokés et boites de nuit. Les écoles, collèges et lycées demeurent fermés en dehors des élèves des classes diplômantes. Au vu de l’évolution de la situation sanitaire à Pékin, la municipalité de Wuhan annoncera dans les prochains jours des mesures restrictives s’appliquant à tout voyageur en provenance de la capitale.</w:t>
      </w:r>
    </w:p>
    <w:p w:rsidR="00F31D18" w:rsidRPr="0088772B" w:rsidRDefault="00F31D18" w:rsidP="007D3F4F">
      <w:pPr>
        <w:spacing w:before="100" w:after="100"/>
        <w:jc w:val="both"/>
        <w:rPr>
          <w:rFonts w:ascii="Segoe UI" w:hAnsi="Segoe UI" w:cs="Segoe UI"/>
          <w:color w:val="006CE5"/>
          <w:u w:val="single"/>
        </w:rPr>
      </w:pPr>
      <w:r w:rsidRPr="0088772B">
        <w:rPr>
          <w:rFonts w:ascii="Segoe UI" w:hAnsi="Segoe UI" w:cs="Segoe UI"/>
          <w:noProof/>
          <w:lang w:eastAsia="fr-FR"/>
        </w:rPr>
        <mc:AlternateContent>
          <mc:Choice Requires="wps">
            <w:drawing>
              <wp:inline distT="0" distB="0" distL="0" distR="0" wp14:anchorId="61B7B7A3" wp14:editId="600CC2E0">
                <wp:extent cx="5796501" cy="306070"/>
                <wp:effectExtent l="0" t="0" r="0" b="0"/>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501" cy="306070"/>
                        </a:xfrm>
                        <a:prstGeom prst="rect">
                          <a:avLst/>
                        </a:prstGeom>
                        <a:solidFill>
                          <a:srgbClr val="006CE5"/>
                        </a:solidFill>
                        <a:ln w="9525">
                          <a:noFill/>
                          <a:miter lim="800000"/>
                          <a:headEnd/>
                          <a:tailEnd/>
                        </a:ln>
                      </wps:spPr>
                      <wps:txbx>
                        <w:txbxContent>
                          <w:p w:rsidR="00C115F4" w:rsidRPr="0012127A" w:rsidRDefault="00C115F4" w:rsidP="00F31D18">
                            <w:pPr>
                              <w:rPr>
                                <w:rFonts w:ascii="Segoe UI Historic" w:hAnsi="Segoe UI Historic" w:cs="Segoe UI Historic"/>
                                <w:b/>
                                <w:color w:val="FFFFFF" w:themeColor="background1"/>
                                <w:sz w:val="24"/>
                                <w:szCs w:val="24"/>
                              </w:rPr>
                            </w:pPr>
                            <w:r w:rsidRPr="0012127A">
                              <w:rPr>
                                <w:rFonts w:ascii="Segoe UI" w:hAnsi="Segoe UI" w:cs="Segoe UI"/>
                                <w:b/>
                                <w:color w:val="FFFFFF" w:themeColor="background1"/>
                                <w:sz w:val="24"/>
                                <w:szCs w:val="24"/>
                              </w:rPr>
                              <w:t>Situation dans les transports</w:t>
                            </w:r>
                          </w:p>
                        </w:txbxContent>
                      </wps:txbx>
                      <wps:bodyPr rot="0" vert="horz" wrap="square" lIns="91440" tIns="45720" rIns="91440" bIns="45720" anchor="t" anchorCtr="0">
                        <a:noAutofit/>
                      </wps:bodyPr>
                    </wps:wsp>
                  </a:graphicData>
                </a:graphic>
              </wp:inline>
            </w:drawing>
          </mc:Choice>
          <mc:Fallback>
            <w:pict>
              <v:shape w14:anchorId="61B7B7A3" id="_x0000_s1028" type="#_x0000_t202" style="width:456.4pt;height:2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" fillcolor="#006ce5" stroked="f">
                <v:textbox>
                  <w:txbxContent>
                    <w:p w:rsidR="00C115F4" w:rsidRPr="0012127A" w:rsidRDefault="00C115F4" w:rsidP="00F31D18">
                      <w:pPr>
                        <w:rPr>
                          <w:rFonts w:ascii="Segoe UI Historic" w:hAnsi="Segoe UI Historic" w:cs="Segoe UI Historic"/>
                          <w:b/>
                          <w:color w:val="FFFFFF" w:themeColor="background1"/>
                          <w:sz w:val="24"/>
                          <w:szCs w:val="24"/>
                        </w:rPr>
                      </w:pPr>
                      <w:r w:rsidRPr="0012127A">
                        <w:rPr>
                          <w:rFonts w:ascii="Segoe UI" w:hAnsi="Segoe UI" w:cs="Segoe UI"/>
                          <w:b/>
                          <w:color w:val="FFFFFF" w:themeColor="background1"/>
                          <w:sz w:val="24"/>
                          <w:szCs w:val="24"/>
                        </w:rPr>
                        <w:t>Situation dans les transports</w:t>
                      </w:r>
                    </w:p>
                  </w:txbxContent>
                </v:textbox>
                <w10:anchorlock/>
              </v:shape>
            </w:pict>
          </mc:Fallback>
        </mc:AlternateContent>
      </w:r>
    </w:p>
    <w:p w:rsidR="00D231B6" w:rsidRPr="008E79BF" w:rsidRDefault="00D231B6" w:rsidP="00D231B6">
      <w:pPr>
        <w:spacing w:before="100" w:after="100"/>
        <w:jc w:val="both"/>
        <w:rPr>
          <w:rFonts w:ascii="Segoe UI" w:hAnsi="Segoe UI" w:cs="Segoe UI"/>
          <w:color w:val="000000"/>
        </w:rPr>
      </w:pPr>
      <w:r w:rsidRPr="008E79BF">
        <w:rPr>
          <w:rFonts w:ascii="Segoe UI" w:hAnsi="Segoe UI" w:cs="Segoe UI"/>
          <w:color w:val="006CE5"/>
          <w:u w:val="single"/>
        </w:rPr>
        <w:t>Transport aérien :</w:t>
      </w:r>
      <w:r w:rsidRPr="008E79BF">
        <w:rPr>
          <w:rFonts w:ascii="Segoe UI" w:hAnsi="Segoe UI" w:cs="Segoe UI"/>
        </w:rPr>
        <w:t xml:space="preserve"> </w:t>
      </w:r>
      <w:r w:rsidRPr="008E79BF">
        <w:rPr>
          <w:rFonts w:ascii="Segoe UI" w:hAnsi="Segoe UI" w:cs="Segoe UI"/>
          <w:color w:val="000000"/>
        </w:rPr>
        <w:t>Les autorités chinoises ont publié le 4 juin une notice pour la reprise progressive des vols internationaux passagers, mais à des conditions très difficiles du point de vue sanitaire et opérationnel. Avec la dégradation de la situation sanitaire à Pékin, la desserte de la capitale est de fait rendue quasi-impossible, et par ailleurs les déroutements avec escale sanitaire préalable perdurent pour une durée indéfinie. Les autorités françaises ont obtenu la possibilité pour Air France d’opérer un vol quotidien entre Paris et Shanghai, le 1</w:t>
      </w:r>
      <w:r w:rsidRPr="008E79BF">
        <w:rPr>
          <w:rFonts w:ascii="Segoe UI" w:hAnsi="Segoe UI" w:cs="Segoe UI"/>
          <w:color w:val="000000"/>
          <w:vertAlign w:val="superscript"/>
        </w:rPr>
        <w:t>er</w:t>
      </w:r>
      <w:r w:rsidRPr="008E79BF">
        <w:rPr>
          <w:rFonts w:ascii="Segoe UI" w:hAnsi="Segoe UI" w:cs="Segoe UI"/>
          <w:color w:val="000000"/>
        </w:rPr>
        <w:t xml:space="preserve"> vol étant programmé le 18 juin. Cependant, pour ce premier vol, la commercialisation n’est pas ouverte dans le sens retour, Shanghai – Paris avec escale à Séoul, car des questions techniques et administratives re</w:t>
      </w:r>
      <w:r w:rsidR="005F64E6" w:rsidRPr="008E79BF">
        <w:rPr>
          <w:rFonts w:ascii="Segoe UI" w:hAnsi="Segoe UI" w:cs="Segoe UI"/>
          <w:color w:val="000000"/>
        </w:rPr>
        <w:t>stent à finaliser. L’espoir demeure</w:t>
      </w:r>
      <w:r w:rsidRPr="008E79BF">
        <w:rPr>
          <w:rFonts w:ascii="Segoe UI" w:hAnsi="Segoe UI" w:cs="Segoe UI"/>
          <w:color w:val="000000"/>
        </w:rPr>
        <w:t xml:space="preserve"> cependant que les discussions en cours permettront à Air France d’opérer rapidement également vers Paris. E</w:t>
      </w:r>
      <w:r w:rsidR="003D6C7D" w:rsidRPr="008E79BF">
        <w:rPr>
          <w:rFonts w:ascii="Segoe UI" w:hAnsi="Segoe UI" w:cs="Segoe UI"/>
          <w:color w:val="000000"/>
        </w:rPr>
        <w:t>n outre, l’Administration de l’Aviation C</w:t>
      </w:r>
      <w:r w:rsidRPr="008E79BF">
        <w:rPr>
          <w:rFonts w:ascii="Segoe UI" w:hAnsi="Segoe UI" w:cs="Segoe UI"/>
          <w:color w:val="000000"/>
        </w:rPr>
        <w:t xml:space="preserve">ivile de Chine (CAAC) a également donné son accord à deux vols hebdomadaires supplémentaires opérés par Air France entre Paris et Shanghai, même si ces opérations restent soumises à une autorisation par les autorités de Shanghai (procédure dérogatoire à l’accord bilatéral sur les services aériens). Cette semaine, sept compagnies ont obtenu l’autorisation de se poser à </w:t>
      </w:r>
      <w:r w:rsidR="008E79BF">
        <w:rPr>
          <w:rFonts w:ascii="Segoe UI" w:hAnsi="Segoe UI" w:cs="Segoe UI"/>
          <w:color w:val="000000"/>
        </w:rPr>
        <w:t>Shanghai </w:t>
      </w:r>
      <w:r w:rsidRPr="008E79BF">
        <w:rPr>
          <w:rFonts w:ascii="Segoe UI" w:hAnsi="Segoe UI" w:cs="Segoe UI"/>
          <w:color w:val="000000"/>
        </w:rPr>
        <w:t xml:space="preserve">: pour l’Europe, Air France, Lufthansa et Virgin Atlantic ; pour la Russie, Aeroflot ; pour l’Océanie, Air New Zealand ; enfin pour les </w:t>
      </w:r>
      <w:r w:rsidR="008E79BF" w:rsidRPr="008E79BF">
        <w:rPr>
          <w:rFonts w:ascii="Segoe UI" w:hAnsi="Segoe UI" w:cs="Segoe UI"/>
          <w:color w:val="000000"/>
        </w:rPr>
        <w:t>États-Unis</w:t>
      </w:r>
      <w:r w:rsidRPr="008E79BF">
        <w:rPr>
          <w:rFonts w:ascii="Segoe UI" w:hAnsi="Segoe UI" w:cs="Segoe UI"/>
          <w:color w:val="000000"/>
        </w:rPr>
        <w:t xml:space="preserve">, Delta et United. Le 15 juin, les deux compagnies aériennes américaines ont été autorisées par la ville de Shanghai à exploiter deux vols par semaine, en parité des opérations des compagnies chinoises aux </w:t>
      </w:r>
      <w:r w:rsidR="008E79BF" w:rsidRPr="008E79BF">
        <w:rPr>
          <w:rFonts w:ascii="Segoe UI" w:hAnsi="Segoe UI" w:cs="Segoe UI"/>
          <w:color w:val="000000"/>
        </w:rPr>
        <w:t>États-Unis</w:t>
      </w:r>
      <w:r w:rsidRPr="008E79BF">
        <w:rPr>
          <w:rFonts w:ascii="Segoe UI" w:hAnsi="Segoe UI" w:cs="Segoe UI"/>
          <w:color w:val="000000"/>
        </w:rPr>
        <w:t>, soit 4 vols par semaine par pavillon. S’agissant des compagnies chinoises sur le marché français, elles exploitent act</w:t>
      </w:r>
      <w:r w:rsidR="003D6C7D" w:rsidRPr="008E79BF">
        <w:rPr>
          <w:rFonts w:ascii="Segoe UI" w:hAnsi="Segoe UI" w:cs="Segoe UI"/>
          <w:color w:val="000000"/>
        </w:rPr>
        <w:t>uellement 3 liaisons vers Paris</w:t>
      </w:r>
      <w:r w:rsidRPr="008E79BF">
        <w:rPr>
          <w:rFonts w:ascii="Segoe UI" w:hAnsi="Segoe UI" w:cs="Segoe UI"/>
          <w:color w:val="000000"/>
        </w:rPr>
        <w:t>: depuis Pékin par Air China (1 vol a/r tous les mercredi</w:t>
      </w:r>
      <w:r w:rsidR="005F64E6" w:rsidRPr="008E79BF">
        <w:rPr>
          <w:rFonts w:ascii="Segoe UI" w:hAnsi="Segoe UI" w:cs="Segoe UI"/>
          <w:color w:val="000000"/>
        </w:rPr>
        <w:t>s</w:t>
      </w:r>
      <w:r w:rsidRPr="008E79BF">
        <w:rPr>
          <w:rFonts w:ascii="Segoe UI" w:hAnsi="Segoe UI" w:cs="Segoe UI"/>
          <w:color w:val="000000"/>
        </w:rPr>
        <w:t>), depuis Shanghai par China Eastern (1 vol a/r tous les samedi</w:t>
      </w:r>
      <w:r w:rsidR="005F64E6" w:rsidRPr="008E79BF">
        <w:rPr>
          <w:rFonts w:ascii="Segoe UI" w:hAnsi="Segoe UI" w:cs="Segoe UI"/>
          <w:color w:val="000000"/>
        </w:rPr>
        <w:t>s</w:t>
      </w:r>
      <w:r w:rsidRPr="008E79BF">
        <w:rPr>
          <w:rFonts w:ascii="Segoe UI" w:hAnsi="Segoe UI" w:cs="Segoe UI"/>
          <w:color w:val="000000"/>
        </w:rPr>
        <w:t xml:space="preserve"> /dimanche</w:t>
      </w:r>
      <w:r w:rsidR="005F64E6" w:rsidRPr="008E79BF">
        <w:rPr>
          <w:rFonts w:ascii="Segoe UI" w:hAnsi="Segoe UI" w:cs="Segoe UI"/>
          <w:color w:val="000000"/>
        </w:rPr>
        <w:t>s</w:t>
      </w:r>
      <w:r w:rsidRPr="008E79BF">
        <w:rPr>
          <w:rFonts w:ascii="Segoe UI" w:hAnsi="Segoe UI" w:cs="Segoe UI"/>
          <w:color w:val="000000"/>
        </w:rPr>
        <w:t>), depuis Canton par China Southern (1 vol a/r tous les lundi</w:t>
      </w:r>
      <w:r w:rsidR="005F64E6" w:rsidRPr="008E79BF">
        <w:rPr>
          <w:rFonts w:ascii="Segoe UI" w:hAnsi="Segoe UI" w:cs="Segoe UI"/>
          <w:color w:val="000000"/>
        </w:rPr>
        <w:t>s</w:t>
      </w:r>
      <w:r w:rsidRPr="008E79BF">
        <w:rPr>
          <w:rFonts w:ascii="Segoe UI" w:hAnsi="Segoe UI" w:cs="Segoe UI"/>
          <w:color w:val="000000"/>
        </w:rPr>
        <w:t>/mardi</w:t>
      </w:r>
      <w:r w:rsidR="005F64E6" w:rsidRPr="008E79BF">
        <w:rPr>
          <w:rFonts w:ascii="Segoe UI" w:hAnsi="Segoe UI" w:cs="Segoe UI"/>
          <w:color w:val="000000"/>
        </w:rPr>
        <w:t>s</w:t>
      </w:r>
      <w:r w:rsidRPr="008E79BF">
        <w:rPr>
          <w:rFonts w:ascii="Segoe UI" w:hAnsi="Segoe UI" w:cs="Segoe UI"/>
          <w:color w:val="000000"/>
        </w:rPr>
        <w:t>). La poursuite de ces programmes chinois en juin dépendra du respect du principe d’égale opportunité de l’accord franco-chinois sur les services aériens. Depuis le 1</w:t>
      </w:r>
      <w:r w:rsidRPr="008E79BF">
        <w:rPr>
          <w:rFonts w:ascii="Segoe UI" w:hAnsi="Segoe UI" w:cs="Segoe UI"/>
          <w:color w:val="000000"/>
          <w:vertAlign w:val="superscript"/>
        </w:rPr>
        <w:t>er</w:t>
      </w:r>
      <w:r w:rsidRPr="008E79BF">
        <w:rPr>
          <w:rFonts w:ascii="Segoe UI" w:hAnsi="Segoe UI" w:cs="Segoe UI"/>
          <w:color w:val="000000"/>
        </w:rPr>
        <w:t xml:space="preserve"> juin, Air France programme deux vols réguliers passagers hebdomadaires entre Paris et Hong-Kong. Le transit international de passagers reprend à Hong-Kong depuis le 15 juin, sauf pour les liaisons depuis et vers la Chine continentale.</w:t>
      </w:r>
    </w:p>
    <w:p w:rsidR="00D231B6" w:rsidRPr="008E79BF" w:rsidRDefault="00D231B6" w:rsidP="00D231B6">
      <w:pPr>
        <w:spacing w:before="100" w:after="100"/>
        <w:jc w:val="both"/>
        <w:rPr>
          <w:rFonts w:ascii="Segoe UI" w:hAnsi="Segoe UI" w:cs="Segoe UI"/>
          <w:color w:val="000000"/>
          <w:lang w:eastAsia="ja-JP"/>
        </w:rPr>
      </w:pPr>
      <w:r w:rsidRPr="008E79BF">
        <w:rPr>
          <w:rFonts w:ascii="Segoe UI" w:eastAsiaTheme="minorHAnsi" w:hAnsi="Segoe UI" w:cs="Segoe UI"/>
          <w:color w:val="006CE5"/>
        </w:rPr>
        <w:t xml:space="preserve">Fret maritime et fluvial : </w:t>
      </w:r>
      <w:r w:rsidRPr="008E79BF">
        <w:rPr>
          <w:rFonts w:ascii="Segoe UI" w:eastAsiaTheme="minorHAnsi" w:hAnsi="Segoe UI" w:cs="Segoe UI"/>
        </w:rPr>
        <w:t>l’</w:t>
      </w:r>
      <w:r w:rsidRPr="008E79BF">
        <w:rPr>
          <w:rFonts w:ascii="Segoe UI" w:eastAsia="SimSun" w:hAnsi="Segoe UI" w:cs="Segoe UI"/>
          <w:color w:val="000000" w:themeColor="text1"/>
          <w:lang w:eastAsia="ja-JP"/>
        </w:rPr>
        <w:t>activité des principaux ports chinois est globalement normale, même pour les réceptions de containers réfrigérés (</w:t>
      </w:r>
      <w:r w:rsidRPr="008E79BF">
        <w:rPr>
          <w:rFonts w:ascii="Segoe UI" w:eastAsia="SimSun" w:hAnsi="Segoe UI" w:cs="Segoe UI"/>
          <w:i/>
          <w:color w:val="000000" w:themeColor="text1"/>
          <w:lang w:eastAsia="ja-JP"/>
        </w:rPr>
        <w:t>reefers</w:t>
      </w:r>
      <w:r w:rsidRPr="008E79BF">
        <w:rPr>
          <w:rFonts w:ascii="Segoe UI" w:eastAsia="SimSun" w:hAnsi="Segoe UI" w:cs="Segoe UI"/>
          <w:color w:val="000000" w:themeColor="text1"/>
          <w:lang w:eastAsia="ja-JP"/>
        </w:rPr>
        <w:t xml:space="preserve">). </w:t>
      </w:r>
      <w:r w:rsidRPr="008E79BF">
        <w:rPr>
          <w:rFonts w:ascii="Segoe UI" w:hAnsi="Segoe UI" w:cs="Segoe UI"/>
          <w:color w:val="000000"/>
          <w:lang w:eastAsia="ja-JP"/>
        </w:rPr>
        <w:t xml:space="preserve">Des départs à vide sont encore à prévoir, engendrant une hausse des coûts. Les ports fluviaux des principales villes ont une activité globalement normale, y compris celui de Wuhan. Les ports maritimes chinois n’autorisent les changements d’équipage que pour les membres d'équipage de nationalité chinoise (soit à bord d'un navire battant pavillon chinois ou étranger) et une demande est nécessaire à l'avance, </w:t>
      </w:r>
      <w:r w:rsidRPr="008E79BF">
        <w:rPr>
          <w:rFonts w:ascii="Segoe UI" w:hAnsi="Segoe UI" w:cs="Segoe UI"/>
          <w:color w:val="000000"/>
          <w:lang w:eastAsia="ja-JP"/>
        </w:rPr>
        <w:lastRenderedPageBreak/>
        <w:t>sans garantie d'approbation. Plusieurs ports n’autorisent plus les changements d’équipage, même chinois. Selon le</w:t>
      </w:r>
      <w:r w:rsidR="003D6C7D" w:rsidRPr="008E79BF">
        <w:rPr>
          <w:rFonts w:ascii="Segoe UI" w:hAnsi="Segoe UI" w:cs="Segoe UI"/>
          <w:color w:val="000000"/>
          <w:lang w:eastAsia="ja-JP"/>
        </w:rPr>
        <w:t>s statistiques publiées par le ministère des T</w:t>
      </w:r>
      <w:r w:rsidRPr="008E79BF">
        <w:rPr>
          <w:rFonts w:ascii="Segoe UI" w:hAnsi="Segoe UI" w:cs="Segoe UI"/>
          <w:color w:val="000000"/>
          <w:lang w:eastAsia="ja-JP"/>
        </w:rPr>
        <w:t>ransports pour avril, le trafic maritime de fret exprimé en masse – c’est-à-dire reflétant principalement le transport de matières premières – a atteint le mois dernier 765 millions de tonnes en hausse de 1,6 % en glissement annuel alors que le seul trafic de conteneurs équivalent-vingt-pieds (EVP) – c’est-à-dire correspondant au transport de produits manufacturés – représentait 18,2 M. de conteneurs EVP, en baisse de 5,1 % en g.a.</w:t>
      </w:r>
    </w:p>
    <w:p w:rsidR="00D231B6" w:rsidRPr="008E79BF" w:rsidRDefault="00D231B6" w:rsidP="00D231B6">
      <w:pPr>
        <w:spacing w:before="100" w:after="100" w:line="21" w:lineRule="atLeast"/>
        <w:ind w:right="-142"/>
        <w:jc w:val="both"/>
        <w:rPr>
          <w:rFonts w:ascii="Segoe UI" w:eastAsiaTheme="minorHAnsi" w:hAnsi="Segoe UI" w:cs="Segoe UI"/>
        </w:rPr>
      </w:pPr>
      <w:r w:rsidRPr="008E79BF">
        <w:rPr>
          <w:rFonts w:ascii="Segoe UI" w:eastAsiaTheme="minorHAnsi" w:hAnsi="Segoe UI" w:cs="Segoe UI"/>
          <w:color w:val="006CE5"/>
        </w:rPr>
        <w:t>Fret ferroviaire :</w:t>
      </w:r>
      <w:r w:rsidRPr="008E79BF">
        <w:rPr>
          <w:rFonts w:ascii="Segoe UI" w:hAnsi="Segoe UI" w:cs="Segoe UI"/>
          <w:color w:val="000000"/>
          <w:lang w:eastAsia="ja-JP"/>
        </w:rPr>
        <w:t xml:space="preserve"> le fret ferroviaire entre la Chine et l’Europe fonctionne à nouveau, même au départ ou à l’arrivée de Wuhan. Le fret ferroviaire est moins touché par les mesures sanitaires que le routier, ce qui a engendré une stabilité des </w:t>
      </w:r>
      <w:r w:rsidRPr="008E79BF">
        <w:rPr>
          <w:rFonts w:ascii="Segoe UI" w:hAnsi="Segoe UI" w:cs="Segoe UI"/>
          <w:lang w:eastAsia="ja-JP"/>
        </w:rPr>
        <w:t xml:space="preserve">flux pendant la crise, voire une augmentation par rapport à l’année dernière. Le ministère du commerce </w:t>
      </w:r>
      <w:hyperlink r:id="rId20" w:history="1">
        <w:r w:rsidRPr="008E79BF">
          <w:rPr>
            <w:rFonts w:ascii="Segoe UI" w:hAnsi="Segoe UI" w:cs="Segoe UI"/>
            <w:lang w:eastAsia="ja-JP"/>
          </w:rPr>
          <w:t>a publié un avis</w:t>
        </w:r>
      </w:hyperlink>
      <w:r w:rsidRPr="008E79BF">
        <w:rPr>
          <w:rFonts w:ascii="Segoe UI" w:hAnsi="Segoe UI" w:cs="Segoe UI"/>
          <w:lang w:eastAsia="ja-JP"/>
        </w:rPr>
        <w:t xml:space="preserve"> le 7 avril destiné à favoriser le fret ferroviaire Chine-Europe. Selon les statistiques publiées par </w:t>
      </w:r>
      <w:r w:rsidRPr="008E79BF">
        <w:rPr>
          <w:rFonts w:ascii="Segoe UI" w:hAnsi="Segoe UI" w:cs="Segoe UI"/>
          <w:i/>
          <w:lang w:eastAsia="ja-JP"/>
        </w:rPr>
        <w:t>China Railway</w:t>
      </w:r>
      <w:r w:rsidRPr="008E79BF">
        <w:rPr>
          <w:rFonts w:ascii="Segoe UI" w:hAnsi="Segoe UI" w:cs="Segoe UI"/>
          <w:lang w:eastAsia="ja-JP"/>
        </w:rPr>
        <w:t>, le trafic ferroviaire de fret a atteint 335 M. de tonnes en avril, en baisse de 2,6 % en glissement annuel.</w:t>
      </w:r>
    </w:p>
    <w:p w:rsidR="008E79BF" w:rsidRPr="008E79BF" w:rsidRDefault="00D231B6" w:rsidP="00D231B6">
      <w:pPr>
        <w:spacing w:before="100" w:after="100" w:line="21" w:lineRule="atLeast"/>
        <w:ind w:right="-142"/>
        <w:jc w:val="both"/>
        <w:rPr>
          <w:rFonts w:ascii="Segoe UI" w:eastAsia="SimSun" w:hAnsi="Segoe UI" w:cs="Segoe UI"/>
          <w:color w:val="000000" w:themeColor="text1"/>
          <w:lang w:eastAsia="ja-JP"/>
        </w:rPr>
      </w:pPr>
      <w:r w:rsidRPr="008E79BF">
        <w:rPr>
          <w:rFonts w:ascii="Segoe UI" w:eastAsiaTheme="minorHAnsi" w:hAnsi="Segoe UI" w:cs="Segoe UI"/>
          <w:color w:val="006CE5"/>
        </w:rPr>
        <w:t>Fret routier :</w:t>
      </w:r>
      <w:r w:rsidRPr="008E79BF">
        <w:rPr>
          <w:rFonts w:ascii="Segoe UI" w:eastAsia="SimSun" w:hAnsi="Segoe UI" w:cs="Segoe UI"/>
          <w:color w:val="000000" w:themeColor="text1"/>
          <w:lang w:eastAsia="ja-JP"/>
        </w:rPr>
        <w:t xml:space="preserve"> Les deux points de passage principaux avec la Russie (Suifenhe dans le Heilongjiang et Manzhouli en Mongolie intérieure) souffrent toujours de congestion, allongeant les temps de trajet. Début juin, les autorités ont testé 650 000 personnes dans la ville de Mudanjiang, proche de Suifenhe, de crainte qu’un nouveau foyer ne s’y développe. 19 cas ont été détectés à cette occasion. Le renforcement des contrôles à la frontière avec le Vietnam devrait augmenter les congestions et allonger les temps de parcours. Sur le plan domestique, tous les trajets peuvent maintenant être assurés, y compris à Wuhan et dans le Hubei. Le coût des livraisons en </w:t>
      </w:r>
      <w:r w:rsidRPr="008E79BF">
        <w:rPr>
          <w:rFonts w:ascii="Segoe UI" w:eastAsia="SimSun" w:hAnsi="Segoe UI" w:cs="Segoe UI"/>
          <w:i/>
          <w:color w:val="000000" w:themeColor="text1"/>
          <w:lang w:eastAsia="ja-JP"/>
        </w:rPr>
        <w:t>Less Than Truckload</w:t>
      </w:r>
      <w:r w:rsidRPr="008E79BF">
        <w:rPr>
          <w:rFonts w:ascii="Segoe UI" w:eastAsia="SimSun" w:hAnsi="Segoe UI" w:cs="Segoe UI"/>
          <w:color w:val="000000" w:themeColor="text1"/>
          <w:lang w:eastAsia="ja-JP"/>
        </w:rPr>
        <w:t xml:space="preserve"> (LTL) restent supérieurs à la normale dans cette province. Le volume de fret routier transporté en avril 2020 s’élève à 2 905 Mt, soit une baisse de 18 % par rapport à avril 2019.</w:t>
      </w:r>
    </w:p>
    <w:p w:rsidR="00D231B6" w:rsidRPr="00D231B6" w:rsidRDefault="008E79BF" w:rsidP="00D231B6">
      <w:pPr>
        <w:shd w:val="clear" w:color="auto" w:fill="FFFFFF" w:themeFill="background1"/>
        <w:spacing w:before="100" w:after="100" w:line="240" w:lineRule="auto"/>
        <w:contextualSpacing/>
        <w:jc w:val="center"/>
        <w:rPr>
          <w:rFonts w:ascii="Segoe UI" w:eastAsiaTheme="minorHAnsi" w:hAnsi="Segoe UI" w:cs="Segoe UI"/>
          <w:color w:val="006CE5"/>
          <w:szCs w:val="20"/>
          <w:u w:val="single"/>
        </w:rPr>
      </w:pPr>
      <w:r w:rsidRPr="00D231B6">
        <w:rPr>
          <w:rFonts w:ascii="Segoe UI" w:eastAsiaTheme="minorHAnsi" w:hAnsi="Segoe UI" w:cs="Segoe UI"/>
          <w:color w:val="006CE5"/>
          <w:szCs w:val="20"/>
          <w:u w:val="single"/>
        </w:rPr>
        <w:t>Évolution</w:t>
      </w:r>
      <w:r w:rsidR="00D231B6" w:rsidRPr="00D231B6">
        <w:rPr>
          <w:rFonts w:ascii="Segoe UI" w:eastAsiaTheme="minorHAnsi" w:hAnsi="Segoe UI" w:cs="Segoe UI"/>
          <w:color w:val="006CE5"/>
          <w:szCs w:val="20"/>
          <w:u w:val="single"/>
        </w:rPr>
        <w:t xml:space="preserve"> de la fréquentation dans les métros de Pékin et Shanghai depuis quatre mois</w:t>
      </w:r>
    </w:p>
    <w:p w:rsidR="00D231B6" w:rsidRPr="00D231B6" w:rsidRDefault="00D231B6" w:rsidP="00D231B6">
      <w:pPr>
        <w:shd w:val="clear" w:color="auto" w:fill="FFFFFF" w:themeFill="background1"/>
        <w:spacing w:before="100" w:after="100" w:line="240" w:lineRule="auto"/>
        <w:contextualSpacing/>
        <w:jc w:val="both"/>
        <w:rPr>
          <w:rFonts w:ascii="Segoe UI" w:eastAsiaTheme="minorHAnsi" w:hAnsi="Segoe UI" w:cs="Segoe UI"/>
          <w:color w:val="006CE5"/>
          <w:szCs w:val="20"/>
          <w:highlight w:val="yellow"/>
          <w:u w:val="single"/>
        </w:rPr>
      </w:pPr>
      <w:r w:rsidRPr="00D231B6">
        <w:rPr>
          <w:noProof/>
          <w:highlight w:val="yellow"/>
          <w:lang w:eastAsia="fr-FR"/>
        </w:rPr>
        <w:drawing>
          <wp:inline distT="0" distB="0" distL="0" distR="0" wp14:anchorId="637BEBD5" wp14:editId="24134078">
            <wp:extent cx="5707955" cy="3816000"/>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707955" cy="3816000"/>
                    </a:xfrm>
                    <a:prstGeom prst="rect">
                      <a:avLst/>
                    </a:prstGeom>
                  </pic:spPr>
                </pic:pic>
              </a:graphicData>
            </a:graphic>
          </wp:inline>
        </w:drawing>
      </w:r>
      <w:r w:rsidRPr="00D231B6">
        <w:rPr>
          <w:noProof/>
          <w:highlight w:val="yellow"/>
          <w:lang w:eastAsia="zh-CN"/>
        </w:rPr>
        <w:t xml:space="preserve"> </w:t>
      </w:r>
    </w:p>
    <w:p w:rsidR="00D231B6" w:rsidRPr="00D231B6" w:rsidRDefault="00D231B6" w:rsidP="00D231B6">
      <w:pPr>
        <w:shd w:val="clear" w:color="auto" w:fill="FFFFFF" w:themeFill="background1"/>
        <w:spacing w:before="100" w:after="100"/>
        <w:jc w:val="center"/>
        <w:rPr>
          <w:rFonts w:ascii="Segoe UI" w:hAnsi="Segoe UI" w:cs="Segoe UI"/>
          <w:i/>
          <w:sz w:val="18"/>
          <w:szCs w:val="18"/>
        </w:rPr>
      </w:pPr>
      <w:r w:rsidRPr="00D231B6">
        <w:rPr>
          <w:rFonts w:ascii="Segoe UI" w:hAnsi="Segoe UI" w:cs="Segoe UI"/>
          <w:i/>
          <w:sz w:val="18"/>
          <w:szCs w:val="18"/>
        </w:rPr>
        <w:t>Variation de fréquentation des métros de Pékin (16 lignes exploitées par Beijing Subway) et de Shanghai en 2020 par rapport à 2019 depuis les quatre mois suivant le Nouvel an chinois (du 27 janvier au 14 juin 2020).</w:t>
      </w:r>
    </w:p>
    <w:p w:rsidR="00D231B6" w:rsidRPr="00D231B6" w:rsidRDefault="00D231B6" w:rsidP="00D231B6">
      <w:pPr>
        <w:spacing w:before="100" w:after="100"/>
        <w:jc w:val="both"/>
        <w:rPr>
          <w:rFonts w:ascii="Calibri" w:hAnsi="Calibri" w:cs="Calibri"/>
          <w:lang w:eastAsia="zh-CN"/>
        </w:rPr>
      </w:pPr>
      <w:r w:rsidRPr="00D231B6">
        <w:rPr>
          <w:rFonts w:ascii="Segoe UI" w:eastAsiaTheme="minorHAnsi" w:hAnsi="Segoe UI" w:cs="Segoe UI"/>
          <w:color w:val="006CE5"/>
        </w:rPr>
        <w:lastRenderedPageBreak/>
        <w:t xml:space="preserve">Fréquentation des métros : </w:t>
      </w:r>
      <w:r w:rsidRPr="00D231B6">
        <w:rPr>
          <w:rFonts w:ascii="Segoe UI" w:hAnsi="Segoe UI" w:cs="Segoe UI"/>
          <w:color w:val="000000"/>
          <w:lang w:eastAsia="ja-JP"/>
        </w:rPr>
        <w:t xml:space="preserve">Ce graphique présente la moyenne hebdomadaire de fréquentations dans les métros pékinois et shanghaien, les fréquentations dans les autres grandes agglomérations chinoises suivant une progression relativement proche de celle de Shanghai. </w:t>
      </w:r>
      <w:r w:rsidR="008E79BF" w:rsidRPr="00D231B6">
        <w:rPr>
          <w:rFonts w:ascii="Segoe UI" w:hAnsi="Segoe UI" w:cs="Segoe UI"/>
          <w:color w:val="000000"/>
          <w:lang w:eastAsia="ja-JP"/>
        </w:rPr>
        <w:t>À</w:t>
      </w:r>
      <w:r w:rsidRPr="00D231B6">
        <w:rPr>
          <w:rFonts w:ascii="Segoe UI" w:hAnsi="Segoe UI" w:cs="Segoe UI"/>
          <w:color w:val="000000"/>
          <w:lang w:eastAsia="ja-JP"/>
        </w:rPr>
        <w:t xml:space="preserve"> Shanghai, la fréquentation était la semaine dernière en baisse de 22 % (env. 2 345 000 passagers quotidiens en moins) par rapport à la semaine comparable en 2019. A Pékin, comme suite à la découverte d’un nouveau foyer, la fréquentation a chuté depuis samedi dernier : -24 % de voyageurs les 13 et 14 juin par rapport au week-end précédent (env. 2 670 000 passagers quotidiens en moins) et -57 % par rapport à la même période en 2019 (3 490 000 passagers quotidiens en moins).</w:t>
      </w:r>
    </w:p>
    <w:p w:rsidR="00D231B6" w:rsidRPr="00D231B6" w:rsidRDefault="008E79BF" w:rsidP="00D231B6">
      <w:pPr>
        <w:spacing w:before="100" w:after="100" w:line="240" w:lineRule="auto"/>
        <w:contextualSpacing/>
        <w:jc w:val="center"/>
        <w:rPr>
          <w:rFonts w:ascii="Segoe UI" w:eastAsiaTheme="minorHAnsi" w:hAnsi="Segoe UI" w:cs="Segoe UI"/>
          <w:color w:val="006CE5"/>
          <w:szCs w:val="20"/>
          <w:u w:val="single"/>
        </w:rPr>
      </w:pPr>
      <w:r w:rsidRPr="00D231B6">
        <w:rPr>
          <w:rFonts w:ascii="Segoe UI" w:eastAsiaTheme="minorHAnsi" w:hAnsi="Segoe UI" w:cs="Segoe UI"/>
          <w:color w:val="006CE5"/>
          <w:szCs w:val="20"/>
          <w:u w:val="single"/>
        </w:rPr>
        <w:t>Évolution</w:t>
      </w:r>
      <w:r w:rsidR="00D231B6" w:rsidRPr="00D231B6">
        <w:rPr>
          <w:rFonts w:ascii="Segoe UI" w:eastAsiaTheme="minorHAnsi" w:hAnsi="Segoe UI" w:cs="Segoe UI"/>
          <w:color w:val="006CE5"/>
          <w:szCs w:val="20"/>
          <w:u w:val="single"/>
        </w:rPr>
        <w:t xml:space="preserve"> de la mobilité collective interurbaine pendant 14 semaines</w:t>
      </w:r>
    </w:p>
    <w:p w:rsidR="00D231B6" w:rsidRPr="00D231B6" w:rsidRDefault="00D231B6" w:rsidP="00D231B6">
      <w:pPr>
        <w:spacing w:before="100" w:after="100"/>
        <w:jc w:val="center"/>
      </w:pPr>
      <w:r w:rsidRPr="00D231B6">
        <w:rPr>
          <w:noProof/>
          <w:lang w:eastAsia="fr-FR"/>
        </w:rPr>
        <w:drawing>
          <wp:inline distT="0" distB="0" distL="0" distR="0" wp14:anchorId="119CF943" wp14:editId="4E13459F">
            <wp:extent cx="5760720" cy="3496945"/>
            <wp:effectExtent l="0" t="0" r="11430" b="8255"/>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Pr="00D231B6">
        <w:rPr>
          <w:noProof/>
          <w:lang w:eastAsia="zh-CN"/>
        </w:rPr>
        <w:t xml:space="preserve"> </w:t>
      </w:r>
    </w:p>
    <w:p w:rsidR="00D231B6" w:rsidRPr="00D231B6" w:rsidRDefault="00D231B6" w:rsidP="00D231B6">
      <w:pPr>
        <w:spacing w:before="100" w:after="100"/>
        <w:jc w:val="center"/>
        <w:rPr>
          <w:rFonts w:ascii="Segoe UI" w:hAnsi="Segoe UI" w:cs="Segoe UI"/>
          <w:i/>
          <w:sz w:val="18"/>
          <w:szCs w:val="18"/>
        </w:rPr>
      </w:pPr>
      <w:r w:rsidRPr="00D231B6">
        <w:rPr>
          <w:rFonts w:ascii="Segoe UI" w:hAnsi="Segoe UI" w:cs="Segoe UI"/>
          <w:i/>
          <w:sz w:val="18"/>
          <w:szCs w:val="18"/>
        </w:rPr>
        <w:t>Source : statistique</w:t>
      </w:r>
      <w:r w:rsidR="003D6C7D">
        <w:rPr>
          <w:rFonts w:ascii="Segoe UI" w:hAnsi="Segoe UI" w:cs="Segoe UI"/>
          <w:i/>
          <w:sz w:val="18"/>
          <w:szCs w:val="18"/>
        </w:rPr>
        <w:t>s quotidiennes publiées par le ministère des T</w:t>
      </w:r>
      <w:r w:rsidRPr="00D231B6">
        <w:rPr>
          <w:rFonts w:ascii="Segoe UI" w:hAnsi="Segoe UI" w:cs="Segoe UI"/>
          <w:i/>
          <w:sz w:val="18"/>
          <w:szCs w:val="18"/>
        </w:rPr>
        <w:t>ransports depuis le 3 mars 2020 (moyennes, tous modes de transport collectif confondus, pendant sept jours – du mardi au lundi suivant).</w:t>
      </w:r>
    </w:p>
    <w:p w:rsidR="00D231B6" w:rsidRPr="00D231B6" w:rsidRDefault="00D231B6" w:rsidP="00D231B6">
      <w:pPr>
        <w:tabs>
          <w:tab w:val="left" w:pos="3494"/>
        </w:tabs>
        <w:spacing w:before="100" w:after="100" w:line="240" w:lineRule="auto"/>
        <w:contextualSpacing/>
        <w:jc w:val="both"/>
      </w:pPr>
      <w:r w:rsidRPr="00D231B6">
        <w:rPr>
          <w:rFonts w:ascii="Segoe UI" w:eastAsiaTheme="minorHAnsi" w:hAnsi="Segoe UI" w:cs="Segoe UI"/>
          <w:color w:val="006CE5"/>
        </w:rPr>
        <w:t xml:space="preserve">Transports interurbains : </w:t>
      </w:r>
      <w:r w:rsidRPr="00D231B6">
        <w:rPr>
          <w:rFonts w:ascii="Segoe UI" w:eastAsia="SimSun" w:hAnsi="Segoe UI" w:cs="Segoe UI"/>
          <w:color w:val="000000" w:themeColor="text1"/>
          <w:lang w:eastAsia="ja-JP"/>
        </w:rPr>
        <w:t>Ce graphique est basé sur les st</w:t>
      </w:r>
      <w:r w:rsidR="003D6C7D">
        <w:rPr>
          <w:rFonts w:ascii="Segoe UI" w:eastAsia="SimSun" w:hAnsi="Segoe UI" w:cs="Segoe UI"/>
          <w:color w:val="000000" w:themeColor="text1"/>
          <w:lang w:eastAsia="ja-JP"/>
        </w:rPr>
        <w:t>atistiques quotidiennes que le ministère des T</w:t>
      </w:r>
      <w:r w:rsidRPr="00D231B6">
        <w:rPr>
          <w:rFonts w:ascii="Segoe UI" w:eastAsia="SimSun" w:hAnsi="Segoe UI" w:cs="Segoe UI"/>
          <w:color w:val="000000" w:themeColor="text1"/>
          <w:lang w:eastAsia="ja-JP"/>
        </w:rPr>
        <w:t>ransports a publiées du 3 mars au 6 juin. Il montre une reprise lente de la mobilité collective interurbaine pendant quatorze semaines (de 15 900 000 voyageurs quotidiens les 3-9 mars à 23 900 000 les 1er-5 juin). Cependant la fréquentation restait début juin encore inférieure de 48 % par rapport à la période correspondante en 2019.</w:t>
      </w:r>
    </w:p>
    <w:p w:rsidR="0095661F" w:rsidRPr="004B3D8C" w:rsidRDefault="0095661F" w:rsidP="0095661F">
      <w:pPr>
        <w:spacing w:after="120"/>
        <w:jc w:val="both"/>
        <w:rPr>
          <w:rStyle w:val="Lienhypertexte"/>
          <w:rFonts w:ascii="Segoe UI" w:eastAsia="SimSun" w:hAnsi="Segoe UI" w:cs="Segoe UI"/>
          <w:color w:val="000000" w:themeColor="text1"/>
          <w:u w:val="none"/>
          <w:lang w:eastAsia="ja-JP"/>
        </w:rPr>
      </w:pPr>
    </w:p>
    <w:p w:rsidR="00D210ED" w:rsidRDefault="00D210ED">
      <w:pPr>
        <w:rPr>
          <w:rFonts w:ascii="Segoe UI" w:eastAsia="SimSun" w:hAnsi="Segoe UI" w:cs="Segoe UI"/>
          <w:color w:val="000000" w:themeColor="text1"/>
          <w:lang w:eastAsia="ja-JP"/>
        </w:rPr>
      </w:pPr>
      <w:r>
        <w:rPr>
          <w:rFonts w:ascii="Segoe UI" w:eastAsia="SimSun" w:hAnsi="Segoe UI" w:cs="Segoe UI"/>
          <w:color w:val="000000" w:themeColor="text1"/>
          <w:lang w:eastAsia="ja-JP"/>
        </w:rPr>
        <w:br w:type="page"/>
      </w:r>
    </w:p>
    <w:p w:rsidR="00227D1C" w:rsidRPr="0088772B" w:rsidRDefault="00227D1C" w:rsidP="00227D1C">
      <w:pPr>
        <w:spacing w:after="120" w:line="240" w:lineRule="auto"/>
        <w:jc w:val="center"/>
        <w:rPr>
          <w:rFonts w:ascii="Segoe UI" w:eastAsia="SimSun" w:hAnsi="Segoe UI" w:cs="Segoe UI"/>
          <w:b/>
          <w:color w:val="006CE5"/>
          <w:sz w:val="24"/>
          <w:szCs w:val="20"/>
          <w:lang w:eastAsia="ja-JP"/>
        </w:rPr>
      </w:pPr>
      <w:r w:rsidRPr="0088772B">
        <w:rPr>
          <w:rFonts w:ascii="Segoe UI" w:eastAsia="SimSun" w:hAnsi="Segoe UI" w:cs="Segoe UI"/>
          <w:b/>
          <w:color w:val="006CE5"/>
          <w:sz w:val="24"/>
          <w:szCs w:val="20"/>
          <w:lang w:eastAsia="ja-JP"/>
        </w:rPr>
        <w:lastRenderedPageBreak/>
        <w:t>ANNEXE - Mesures de soutien annoncées par les autorités</w:t>
      </w:r>
    </w:p>
    <w:p w:rsidR="00227D1C" w:rsidRPr="0088772B" w:rsidRDefault="00227D1C" w:rsidP="00227D1C">
      <w:pPr>
        <w:spacing w:after="120" w:line="240" w:lineRule="auto"/>
        <w:ind w:left="360" w:hanging="360"/>
        <w:jc w:val="both"/>
        <w:rPr>
          <w:rFonts w:ascii="Segoe UI" w:eastAsia="SimSun" w:hAnsi="Segoe UI" w:cs="Segoe UI"/>
          <w:color w:val="0066CC"/>
          <w:sz w:val="20"/>
          <w:szCs w:val="20"/>
          <w:u w:val="single"/>
          <w:lang w:eastAsia="ja-JP"/>
        </w:rPr>
      </w:pPr>
      <w:r w:rsidRPr="0088772B">
        <w:rPr>
          <w:rFonts w:ascii="Calibri" w:eastAsia="SimSun" w:hAnsi="Calibri" w:cs="Times New Roman"/>
          <w:noProof/>
          <w:lang w:eastAsia="fr-FR"/>
        </w:rPr>
        <mc:AlternateContent>
          <mc:Choice Requires="wps">
            <w:drawing>
              <wp:inline distT="0" distB="0" distL="0" distR="0" wp14:anchorId="6EA7337C" wp14:editId="1F6EFE6E">
                <wp:extent cx="5760720" cy="329565"/>
                <wp:effectExtent l="0" t="0" r="1905" b="3810"/>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329565"/>
                        </a:xfrm>
                        <a:prstGeom prst="rect">
                          <a:avLst/>
                        </a:prstGeom>
                        <a:solidFill>
                          <a:srgbClr val="006CE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7D1C" w:rsidRDefault="00227D1C" w:rsidP="00227D1C">
                            <w:pPr>
                              <w:jc w:val="both"/>
                              <w:rPr>
                                <w:rFonts w:ascii="Segoe UI Historic" w:hAnsi="Segoe UI Historic" w:cs="Segoe UI Historic"/>
                                <w:color w:val="FFFFFF" w:themeColor="background1"/>
                                <w:szCs w:val="24"/>
                              </w:rPr>
                            </w:pPr>
                            <w:r>
                              <w:rPr>
                                <w:rFonts w:ascii="Segoe UI Historic" w:hAnsi="Segoe UI Historic" w:cs="Segoe UI Historic"/>
                                <w:color w:val="FFFFFF" w:themeColor="background1"/>
                                <w:szCs w:val="24"/>
                              </w:rPr>
                              <w:t>Des politiques fiscales et financières pour soutenir la prévention et le contrôle de l’épidémie</w:t>
                            </w:r>
                          </w:p>
                        </w:txbxContent>
                      </wps:txbx>
                      <wps:bodyPr rot="0" vert="horz" wrap="square" lIns="91440" tIns="45720" rIns="91440" bIns="45720" anchor="t" anchorCtr="0" upright="1">
                        <a:noAutofit/>
                      </wps:bodyPr>
                    </wps:wsp>
                  </a:graphicData>
                </a:graphic>
              </wp:inline>
            </w:drawing>
          </mc:Choice>
          <mc:Fallback>
            <w:pict>
              <v:shape w14:anchorId="6EA7337C" id="_x0000_s1029" type="#_x0000_t202" style="width:453.6pt;height:2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" fillcolor="#006ce5" stroked="f">
                <v:textbox>
                  <w:txbxContent>
                    <w:p w:rsidR="00227D1C" w:rsidRDefault="00227D1C" w:rsidP="00227D1C">
                      <w:pPr>
                        <w:jc w:val="both"/>
                        <w:rPr>
                          <w:rFonts w:ascii="Segoe UI Historic" w:hAnsi="Segoe UI Historic" w:cs="Segoe UI Historic"/>
                          <w:color w:val="FFFFFF" w:themeColor="background1"/>
                          <w:szCs w:val="24"/>
                        </w:rPr>
                      </w:pPr>
                      <w:r>
                        <w:rPr>
                          <w:rFonts w:ascii="Segoe UI Historic" w:hAnsi="Segoe UI Historic" w:cs="Segoe UI Historic"/>
                          <w:color w:val="FFFFFF" w:themeColor="background1"/>
                          <w:szCs w:val="24"/>
                        </w:rPr>
                        <w:t>Des politiques fiscales et financières pour soutenir la prévention et le contrôle de l’épidémie</w:t>
                      </w:r>
                    </w:p>
                  </w:txbxContent>
                </v:textbox>
                <w10:anchorlock/>
              </v:shape>
            </w:pict>
          </mc:Fallback>
        </mc:AlternateContent>
      </w:r>
    </w:p>
    <w:p w:rsidR="00227D1C" w:rsidRPr="0088772B" w:rsidRDefault="00227D1C" w:rsidP="00227D1C">
      <w:pPr>
        <w:spacing w:after="120" w:line="240" w:lineRule="auto"/>
        <w:jc w:val="both"/>
        <w:rPr>
          <w:rFonts w:ascii="Segoe UI" w:eastAsia="SimSun" w:hAnsi="Segoe UI" w:cs="Segoe UI"/>
          <w:i/>
          <w:color w:val="4472C4" w:themeColor="accent5"/>
          <w:sz w:val="20"/>
          <w:szCs w:val="20"/>
          <w:lang w:eastAsia="ja-JP"/>
        </w:rPr>
      </w:pPr>
      <w:r w:rsidRPr="0088772B">
        <w:rPr>
          <w:rFonts w:ascii="Segoe UI" w:eastAsia="SimSun" w:hAnsi="Segoe UI" w:cs="Segoe UI"/>
          <w:color w:val="0066CC"/>
          <w:sz w:val="20"/>
          <w:szCs w:val="20"/>
          <w:u w:val="single"/>
          <w:lang w:eastAsia="ja-JP"/>
        </w:rPr>
        <w:t>Des dispositions spéciales, temporaires, ont été accordées en priorité aux entreprises qui participent à la prévention de l’épidémie.</w:t>
      </w:r>
      <w:r w:rsidRPr="0088772B">
        <w:rPr>
          <w:rFonts w:ascii="Segoe UI" w:eastAsia="SimSun" w:hAnsi="Segoe UI" w:cs="Segoe UI"/>
          <w:color w:val="0066CC"/>
          <w:sz w:val="20"/>
          <w:szCs w:val="20"/>
          <w:lang w:eastAsia="ja-JP"/>
        </w:rPr>
        <w:t xml:space="preserve"> </w:t>
      </w:r>
      <w:r w:rsidRPr="0088772B">
        <w:rPr>
          <w:rFonts w:ascii="Segoe UI" w:eastAsia="SimSun" w:hAnsi="Segoe UI" w:cs="Segoe UI"/>
          <w:sz w:val="20"/>
          <w:szCs w:val="20"/>
          <w:lang w:eastAsia="ja-JP"/>
        </w:rPr>
        <w:t xml:space="preserve">Ces mesures ont notamment été prises pour augmenter la production et assurer le transport du matériel médical, l’approvisionnement et la fluidité du fret. Elles visent aussi à assure des prix relativement stables pour les produits de première nécessité (énergie et de consommation). Elles visent également à aider les entreprises à reprendre leurs activités et la production. </w:t>
      </w:r>
    </w:p>
    <w:p w:rsidR="00227D1C" w:rsidRPr="0088772B" w:rsidRDefault="00227D1C" w:rsidP="00227D1C">
      <w:pPr>
        <w:numPr>
          <w:ilvl w:val="0"/>
          <w:numId w:val="26"/>
        </w:numPr>
        <w:spacing w:after="120" w:line="240" w:lineRule="auto"/>
        <w:jc w:val="both"/>
        <w:rPr>
          <w:rFonts w:ascii="Segoe UI" w:eastAsia="SimSun" w:hAnsi="Segoe UI" w:cs="Segoe UI"/>
          <w:color w:val="000000" w:themeColor="text1"/>
          <w:sz w:val="20"/>
          <w:szCs w:val="20"/>
          <w:lang w:eastAsia="ja-JP"/>
        </w:rPr>
      </w:pPr>
      <w:r w:rsidRPr="0088772B">
        <w:rPr>
          <w:rFonts w:ascii="Segoe UI" w:eastAsia="SimSun" w:hAnsi="Segoe UI" w:cs="Segoe UI"/>
          <w:color w:val="000000" w:themeColor="text1"/>
          <w:sz w:val="20"/>
          <w:szCs w:val="20"/>
          <w:lang w:eastAsia="ja-JP"/>
        </w:rPr>
        <w:t xml:space="preserve">La PBoC devrait accorder </w:t>
      </w:r>
      <w:r w:rsidRPr="0088772B">
        <w:rPr>
          <w:rFonts w:ascii="Segoe UI" w:eastAsia="SimSun" w:hAnsi="Segoe UI" w:cs="Segoe UI"/>
          <w:b/>
          <w:bCs/>
          <w:color w:val="000000" w:themeColor="text1"/>
          <w:sz w:val="20"/>
          <w:szCs w:val="20"/>
          <w:lang w:eastAsia="ja-JP"/>
        </w:rPr>
        <w:t>300 Mds CNY de crédits spéciaux</w:t>
      </w:r>
      <w:r w:rsidRPr="0088772B">
        <w:rPr>
          <w:rFonts w:ascii="Segoe UI" w:eastAsia="SimSun" w:hAnsi="Segoe UI" w:cs="Segoe UI"/>
          <w:color w:val="000000" w:themeColor="text1"/>
          <w:sz w:val="20"/>
          <w:szCs w:val="20"/>
          <w:lang w:eastAsia="ja-JP"/>
        </w:rPr>
        <w:t xml:space="preserve"> (maturité d’un an et taux inférieur de 250 au </w:t>
      </w:r>
      <w:r w:rsidRPr="0088772B">
        <w:rPr>
          <w:rFonts w:ascii="Segoe UI" w:eastAsia="SimSun" w:hAnsi="Segoe UI" w:cs="Segoe UI"/>
          <w:i/>
          <w:color w:val="000000" w:themeColor="text1"/>
          <w:sz w:val="20"/>
          <w:szCs w:val="20"/>
          <w:lang w:eastAsia="ja-JP"/>
        </w:rPr>
        <w:t>Loan Prime Rate</w:t>
      </w:r>
      <w:r w:rsidRPr="0088772B">
        <w:rPr>
          <w:rFonts w:ascii="Segoe UI" w:eastAsia="SimSun" w:hAnsi="Segoe UI" w:cs="Segoe UI"/>
          <w:color w:val="000000" w:themeColor="text1"/>
          <w:sz w:val="20"/>
          <w:szCs w:val="20"/>
          <w:lang w:eastAsia="ja-JP"/>
        </w:rPr>
        <w:t xml:space="preserve">, dans le cadre du programme </w:t>
      </w:r>
      <w:r w:rsidRPr="0088772B">
        <w:rPr>
          <w:rFonts w:ascii="Segoe UI" w:eastAsia="SimSun" w:hAnsi="Segoe UI" w:cs="Segoe UI"/>
          <w:i/>
          <w:color w:val="000000" w:themeColor="text1"/>
          <w:sz w:val="20"/>
          <w:szCs w:val="20"/>
          <w:lang w:eastAsia="ja-JP"/>
        </w:rPr>
        <w:t>refinancing</w:t>
      </w:r>
      <w:r w:rsidRPr="0088772B">
        <w:rPr>
          <w:rFonts w:ascii="Segoe UI" w:eastAsia="SimSun" w:hAnsi="Segoe UI" w:cs="Segoe UI"/>
          <w:color w:val="000000" w:themeColor="text1"/>
          <w:sz w:val="20"/>
          <w:szCs w:val="20"/>
          <w:lang w:eastAsia="ja-JP"/>
        </w:rPr>
        <w:t xml:space="preserve">) aux banques pour les encourager à prêter à un taux d'intérêt avantageux aux </w:t>
      </w:r>
      <w:r w:rsidRPr="0088772B">
        <w:rPr>
          <w:rFonts w:ascii="Segoe UI" w:eastAsia="SimSun" w:hAnsi="Segoe UI" w:cs="Segoe UI"/>
          <w:b/>
          <w:bCs/>
          <w:color w:val="000000" w:themeColor="text1"/>
          <w:sz w:val="20"/>
          <w:szCs w:val="20"/>
          <w:lang w:eastAsia="ja-JP"/>
        </w:rPr>
        <w:t>entreprises « stratégiques »</w:t>
      </w:r>
      <w:r w:rsidRPr="0088772B">
        <w:rPr>
          <w:rFonts w:ascii="Segoe UI" w:eastAsia="SimSun" w:hAnsi="Segoe UI" w:cs="Segoe UI"/>
          <w:color w:val="000000" w:themeColor="text1"/>
          <w:sz w:val="20"/>
          <w:szCs w:val="20"/>
          <w:lang w:eastAsia="ja-JP"/>
        </w:rPr>
        <w:t xml:space="preserve"> (production, transport et vente de matériel médical essentiel et des produits de base du quotidien) et ainsi assurer à ces dernières un coût de financement inférieur à 1,6% (</w:t>
      </w:r>
      <w:r w:rsidRPr="0088772B">
        <w:rPr>
          <w:rFonts w:ascii="Segoe UI" w:eastAsia="SimSun" w:hAnsi="Segoe UI" w:cs="Segoe UI"/>
          <w:i/>
          <w:iCs/>
          <w:color w:val="000000" w:themeColor="text1"/>
          <w:sz w:val="20"/>
          <w:szCs w:val="20"/>
          <w:lang w:eastAsia="ja-JP"/>
        </w:rPr>
        <w:t>government will provide 50% interest subsidy to ensure actual corporate interest rate is below 1.6%</w:t>
      </w:r>
      <w:r w:rsidRPr="0088772B">
        <w:rPr>
          <w:rFonts w:ascii="Segoe UI" w:eastAsia="SimSun" w:hAnsi="Segoe UI" w:cs="Segoe UI"/>
          <w:color w:val="000000" w:themeColor="text1"/>
          <w:sz w:val="20"/>
          <w:szCs w:val="20"/>
          <w:lang w:eastAsia="ja-JP"/>
        </w:rPr>
        <w:t xml:space="preserve">). </w:t>
      </w:r>
    </w:p>
    <w:p w:rsidR="00227D1C" w:rsidRPr="0088772B" w:rsidRDefault="00227D1C" w:rsidP="00227D1C">
      <w:pPr>
        <w:numPr>
          <w:ilvl w:val="0"/>
          <w:numId w:val="26"/>
        </w:numPr>
        <w:spacing w:after="120" w:line="240" w:lineRule="auto"/>
        <w:jc w:val="both"/>
        <w:rPr>
          <w:rFonts w:ascii="Segoe UI" w:eastAsia="SimSun" w:hAnsi="Segoe UI" w:cs="Segoe UI"/>
          <w:color w:val="000000" w:themeColor="text1"/>
          <w:sz w:val="20"/>
          <w:szCs w:val="20"/>
          <w:lang w:eastAsia="ja-JP"/>
        </w:rPr>
      </w:pPr>
      <w:r w:rsidRPr="0088772B">
        <w:rPr>
          <w:rFonts w:ascii="Segoe UI" w:eastAsia="SimSun" w:hAnsi="Segoe UI" w:cs="Segoe UI"/>
          <w:b/>
          <w:bCs/>
          <w:color w:val="000000" w:themeColor="text1"/>
          <w:sz w:val="20"/>
          <w:szCs w:val="20"/>
          <w:lang w:eastAsia="ja-JP"/>
        </w:rPr>
        <w:t>Création d’une « voie verte d’urgence »</w:t>
      </w:r>
      <w:r w:rsidRPr="0088772B">
        <w:rPr>
          <w:rFonts w:ascii="Segoe UI" w:eastAsia="SimSun" w:hAnsi="Segoe UI" w:cs="Segoe UI"/>
          <w:color w:val="000000" w:themeColor="text1"/>
          <w:sz w:val="20"/>
          <w:szCs w:val="20"/>
          <w:lang w:eastAsia="ja-JP"/>
        </w:rPr>
        <w:t xml:space="preserve"> afin d’accélérer les procédures pour les entreprises stratégiques, en particulier pour le financement d’opérations, le dédouanement ou l’acheminement de marchandises. </w:t>
      </w:r>
    </w:p>
    <w:p w:rsidR="00227D1C" w:rsidRPr="0088772B" w:rsidRDefault="00227D1C" w:rsidP="00227D1C">
      <w:pPr>
        <w:numPr>
          <w:ilvl w:val="0"/>
          <w:numId w:val="26"/>
        </w:numPr>
        <w:spacing w:after="120" w:line="240" w:lineRule="auto"/>
        <w:jc w:val="both"/>
        <w:rPr>
          <w:rFonts w:ascii="Segoe UI" w:eastAsia="SimSun" w:hAnsi="Segoe UI" w:cs="Segoe UI"/>
          <w:color w:val="000000" w:themeColor="text1"/>
          <w:sz w:val="20"/>
          <w:szCs w:val="20"/>
          <w:lang w:eastAsia="ja-JP"/>
        </w:rPr>
      </w:pPr>
      <w:r w:rsidRPr="0088772B">
        <w:rPr>
          <w:rFonts w:ascii="Segoe UI" w:eastAsia="SimSun" w:hAnsi="Segoe UI" w:cs="Segoe UI"/>
          <w:b/>
          <w:bCs/>
          <w:color w:val="000000" w:themeColor="text1"/>
          <w:sz w:val="20"/>
          <w:szCs w:val="20"/>
          <w:lang w:eastAsia="ja-JP"/>
        </w:rPr>
        <w:t>Exemption de TVA pour les entreprises qui produisent ou participent au transport de matériel médical ou liées au contrôle de l’épidémie</w:t>
      </w:r>
      <w:r w:rsidRPr="0088772B">
        <w:rPr>
          <w:rFonts w:ascii="Segoe UI" w:eastAsia="SimSun" w:hAnsi="Segoe UI" w:cs="Segoe UI"/>
          <w:color w:val="000000" w:themeColor="text1"/>
          <w:sz w:val="20"/>
          <w:szCs w:val="20"/>
          <w:lang w:eastAsia="ja-JP"/>
        </w:rPr>
        <w:t xml:space="preserve"> </w:t>
      </w:r>
      <w:r w:rsidRPr="0088772B">
        <w:rPr>
          <w:rFonts w:ascii="Segoe UI" w:eastAsia="SimSun" w:hAnsi="Segoe UI" w:cs="Segoe UI"/>
          <w:b/>
          <w:bCs/>
          <w:color w:val="000000" w:themeColor="text1"/>
          <w:sz w:val="20"/>
          <w:szCs w:val="20"/>
          <w:lang w:eastAsia="ja-JP"/>
        </w:rPr>
        <w:t xml:space="preserve">et pour les entreprises participant au maintien de services publics essentiels </w:t>
      </w:r>
      <w:r w:rsidRPr="0088772B">
        <w:rPr>
          <w:rFonts w:ascii="Segoe UI" w:eastAsia="SimSun" w:hAnsi="Segoe UI" w:cs="Segoe UI"/>
          <w:color w:val="000000" w:themeColor="text1"/>
          <w:sz w:val="20"/>
          <w:szCs w:val="20"/>
          <w:lang w:eastAsia="ja-JP"/>
        </w:rPr>
        <w:t>(services spéciaux, transports, livraisons de produits nécessaires)</w:t>
      </w:r>
      <w:r w:rsidRPr="0088772B">
        <w:rPr>
          <w:rFonts w:ascii="Segoe UI" w:eastAsia="SimSun" w:hAnsi="Segoe UI" w:cs="Segoe UI"/>
          <w:color w:val="000000" w:themeColor="text1"/>
          <w:sz w:val="20"/>
          <w:szCs w:val="20"/>
          <w:vertAlign w:val="superscript"/>
          <w:lang w:eastAsia="ja-JP"/>
        </w:rPr>
        <w:footnoteReference w:id="1"/>
      </w:r>
      <w:r w:rsidRPr="0088772B">
        <w:rPr>
          <w:rFonts w:ascii="Segoe UI" w:eastAsia="SimSun" w:hAnsi="Segoe UI" w:cs="Segoe UI"/>
          <w:color w:val="000000" w:themeColor="text1"/>
          <w:sz w:val="20"/>
          <w:szCs w:val="20"/>
          <w:lang w:eastAsia="ja-JP"/>
        </w:rPr>
        <w:t xml:space="preserve"> </w:t>
      </w:r>
    </w:p>
    <w:p w:rsidR="00227D1C" w:rsidRPr="0088772B" w:rsidRDefault="00227D1C" w:rsidP="00227D1C">
      <w:pPr>
        <w:numPr>
          <w:ilvl w:val="0"/>
          <w:numId w:val="26"/>
        </w:numPr>
        <w:spacing w:after="120" w:line="240" w:lineRule="auto"/>
        <w:jc w:val="both"/>
        <w:rPr>
          <w:rFonts w:ascii="Segoe UI" w:eastAsia="SimSun" w:hAnsi="Segoe UI" w:cs="Segoe UI"/>
          <w:color w:val="000000" w:themeColor="text1"/>
          <w:sz w:val="20"/>
          <w:szCs w:val="20"/>
          <w:lang w:eastAsia="ja-JP"/>
        </w:rPr>
      </w:pPr>
      <w:r w:rsidRPr="0088772B">
        <w:rPr>
          <w:rFonts w:ascii="Segoe UI" w:eastAsia="SimSun" w:hAnsi="Segoe UI" w:cs="Segoe UI"/>
          <w:color w:val="000000" w:themeColor="text1"/>
          <w:sz w:val="20"/>
          <w:szCs w:val="20"/>
          <w:lang w:eastAsia="ja-JP"/>
        </w:rPr>
        <w:t>Exemption d’impôts sur le revenu pour les individus participant à l’effort d’endiguement de l’épidémie (personnel médical).</w:t>
      </w:r>
    </w:p>
    <w:p w:rsidR="00227D1C" w:rsidRPr="0088772B" w:rsidRDefault="00227D1C" w:rsidP="00227D1C">
      <w:pPr>
        <w:numPr>
          <w:ilvl w:val="0"/>
          <w:numId w:val="26"/>
        </w:numPr>
        <w:spacing w:after="120" w:line="240" w:lineRule="auto"/>
        <w:jc w:val="both"/>
        <w:rPr>
          <w:rFonts w:ascii="Segoe UI" w:eastAsia="SimSun" w:hAnsi="Segoe UI" w:cs="Segoe UI"/>
          <w:color w:val="000000" w:themeColor="text1"/>
          <w:sz w:val="20"/>
          <w:szCs w:val="20"/>
          <w:lang w:eastAsia="ja-JP"/>
        </w:rPr>
      </w:pPr>
      <w:r w:rsidRPr="0088772B">
        <w:rPr>
          <w:rFonts w:ascii="Segoe UI" w:eastAsia="SimSun" w:hAnsi="Segoe UI" w:cs="Segoe UI"/>
          <w:b/>
          <w:bCs/>
          <w:color w:val="000000" w:themeColor="text1"/>
          <w:sz w:val="20"/>
          <w:szCs w:val="20"/>
          <w:lang w:eastAsia="ja-JP"/>
        </w:rPr>
        <w:t>Soutien à la R&amp;D sur les médicaments et les vaccins mais également dans les sciences, l’innovation et technologie</w:t>
      </w:r>
      <w:r w:rsidRPr="0088772B">
        <w:rPr>
          <w:rFonts w:ascii="Segoe UI" w:eastAsia="SimSun" w:hAnsi="Segoe UI" w:cs="Segoe UI"/>
          <w:color w:val="000000" w:themeColor="text1"/>
          <w:sz w:val="20"/>
          <w:szCs w:val="20"/>
          <w:lang w:eastAsia="ja-JP"/>
        </w:rPr>
        <w:t xml:space="preserve"> (notamment par le biais de subventions à l’échelle locale)</w:t>
      </w:r>
    </w:p>
    <w:p w:rsidR="00227D1C" w:rsidRPr="0088772B" w:rsidRDefault="00227D1C" w:rsidP="00227D1C">
      <w:pPr>
        <w:numPr>
          <w:ilvl w:val="0"/>
          <w:numId w:val="26"/>
        </w:numPr>
        <w:spacing w:after="120" w:line="240" w:lineRule="auto"/>
        <w:jc w:val="both"/>
        <w:rPr>
          <w:rFonts w:ascii="Segoe UI" w:eastAsia="SimSun" w:hAnsi="Segoe UI" w:cs="Segoe UI"/>
          <w:color w:val="000000" w:themeColor="text1"/>
          <w:sz w:val="20"/>
          <w:szCs w:val="20"/>
          <w:lang w:eastAsia="ja-JP"/>
        </w:rPr>
      </w:pPr>
      <w:r w:rsidRPr="0088772B">
        <w:rPr>
          <w:rFonts w:ascii="Segoe UI" w:eastAsia="SimSun" w:hAnsi="Segoe UI" w:cs="Segoe UI"/>
          <w:color w:val="000000" w:themeColor="text1"/>
          <w:sz w:val="20"/>
          <w:szCs w:val="20"/>
          <w:lang w:eastAsia="ja-JP"/>
        </w:rPr>
        <w:t>Frais de fonctionnement remboursés (jusqu’à 80% à Shanghai) pour les entreprises dont les opérations ont été réquisitionnées en urgence par le gouvernement local pour assurer une production en masse (équipements médicaux par exemple)</w:t>
      </w:r>
    </w:p>
    <w:p w:rsidR="00227D1C" w:rsidRPr="0088772B" w:rsidRDefault="00227D1C" w:rsidP="00227D1C">
      <w:pPr>
        <w:numPr>
          <w:ilvl w:val="0"/>
          <w:numId w:val="26"/>
        </w:numPr>
        <w:spacing w:after="120" w:line="240" w:lineRule="auto"/>
        <w:jc w:val="both"/>
        <w:rPr>
          <w:rFonts w:ascii="Segoe UI" w:eastAsia="SimSun" w:hAnsi="Segoe UI" w:cs="Segoe UI"/>
          <w:color w:val="000000" w:themeColor="text1"/>
          <w:sz w:val="20"/>
          <w:szCs w:val="20"/>
          <w:lang w:eastAsia="ja-JP"/>
        </w:rPr>
      </w:pPr>
      <w:r w:rsidRPr="0088772B">
        <w:rPr>
          <w:rFonts w:ascii="Segoe UI" w:eastAsia="SimSun" w:hAnsi="Segoe UI" w:cs="Segoe UI"/>
          <w:color w:val="000000" w:themeColor="text1"/>
          <w:sz w:val="20"/>
          <w:szCs w:val="20"/>
          <w:lang w:eastAsia="ja-JP"/>
        </w:rPr>
        <w:t>La NDRC a encouragé les émissions obligataires des SME pour subvenir à leurs besoins de liquidité. La NDRC a également encourage les émissions obligataires de projets liés à la prévention de l’épidémie, soulignant que les exigences en matière de rentabilité du projet seront abaissées.</w:t>
      </w:r>
    </w:p>
    <w:p w:rsidR="00227D1C" w:rsidRPr="0088772B" w:rsidRDefault="00227D1C" w:rsidP="00227D1C">
      <w:pPr>
        <w:numPr>
          <w:ilvl w:val="0"/>
          <w:numId w:val="26"/>
        </w:numPr>
        <w:spacing w:after="120" w:line="240" w:lineRule="auto"/>
        <w:jc w:val="both"/>
        <w:rPr>
          <w:rFonts w:ascii="Segoe UI" w:eastAsia="SimSun" w:hAnsi="Segoe UI" w:cs="Segoe UI"/>
          <w:color w:val="000000" w:themeColor="text1"/>
          <w:sz w:val="20"/>
          <w:szCs w:val="20"/>
          <w:lang w:eastAsia="ja-JP"/>
        </w:rPr>
      </w:pPr>
      <w:r w:rsidRPr="0088772B">
        <w:rPr>
          <w:rFonts w:ascii="Segoe UI" w:eastAsia="SimSun" w:hAnsi="Segoe UI" w:cs="Segoe UI"/>
          <w:color w:val="000000" w:themeColor="text1"/>
          <w:sz w:val="20"/>
          <w:szCs w:val="20"/>
          <w:lang w:eastAsia="ja-JP"/>
        </w:rPr>
        <w:t>Soutien aux opérations de fret aérien : levée de certaines restrictions pour les vols sur les créneaux d’heures de pointe, de nouvelles flexibilités pour les temps de vol des équipages, possibilité d’un dédouanement 24h/24 tous les jours dans les grands aéroports.</w:t>
      </w:r>
    </w:p>
    <w:p w:rsidR="00227D1C" w:rsidRPr="0088772B" w:rsidRDefault="00227D1C" w:rsidP="00227D1C">
      <w:pPr>
        <w:spacing w:after="120" w:line="240" w:lineRule="auto"/>
        <w:ind w:left="720"/>
        <w:jc w:val="both"/>
        <w:rPr>
          <w:rFonts w:ascii="Segoe UI" w:eastAsia="SimSun" w:hAnsi="Segoe UI" w:cs="Segoe UI"/>
          <w:color w:val="000000" w:themeColor="text1"/>
          <w:sz w:val="20"/>
          <w:szCs w:val="20"/>
          <w:lang w:eastAsia="ja-JP"/>
        </w:rPr>
      </w:pPr>
    </w:p>
    <w:p w:rsidR="00227D1C" w:rsidRPr="0088772B" w:rsidRDefault="00227D1C" w:rsidP="00227D1C">
      <w:pPr>
        <w:spacing w:after="120" w:line="240" w:lineRule="auto"/>
        <w:jc w:val="both"/>
        <w:rPr>
          <w:rFonts w:ascii="Segoe UI" w:eastAsia="SimSun" w:hAnsi="Segoe UI" w:cs="Segoe UI"/>
          <w:sz w:val="20"/>
          <w:szCs w:val="20"/>
        </w:rPr>
      </w:pPr>
      <w:r w:rsidRPr="0088772B">
        <w:rPr>
          <w:rFonts w:ascii="Calibri" w:eastAsia="SimSun" w:hAnsi="Calibri" w:cs="Times New Roman"/>
          <w:noProof/>
          <w:lang w:eastAsia="fr-FR"/>
        </w:rPr>
        <mc:AlternateContent>
          <mc:Choice Requires="wps">
            <w:drawing>
              <wp:inline distT="0" distB="0" distL="0" distR="0" wp14:anchorId="00238879" wp14:editId="6E373A82">
                <wp:extent cx="5760720" cy="546100"/>
                <wp:effectExtent l="0" t="0" r="1905" b="0"/>
                <wp:docPr id="4"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546100"/>
                        </a:xfrm>
                        <a:prstGeom prst="rect">
                          <a:avLst/>
                        </a:prstGeom>
                        <a:solidFill>
                          <a:srgbClr val="006CE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7D1C" w:rsidRDefault="00227D1C" w:rsidP="00227D1C">
                            <w:pPr>
                              <w:jc w:val="both"/>
                              <w:rPr>
                                <w:rFonts w:ascii="Segoe UI Historic" w:hAnsi="Segoe UI Historic" w:cs="Segoe UI Historic"/>
                                <w:color w:val="FFFFFF" w:themeColor="background1"/>
                                <w:szCs w:val="24"/>
                              </w:rPr>
                            </w:pPr>
                            <w:r>
                              <w:rPr>
                                <w:rFonts w:ascii="Segoe UI Historic" w:hAnsi="Segoe UI Historic" w:cs="Segoe UI Historic"/>
                                <w:color w:val="FFFFFF" w:themeColor="background1"/>
                                <w:szCs w:val="24"/>
                              </w:rPr>
                              <w:t xml:space="preserve">Des baisses de coûts et accès sur le financement pour les entreprises les plus touchées par la crise, notamment des PME, pour éviter les problèmes de trésorerie </w:t>
                            </w:r>
                          </w:p>
                        </w:txbxContent>
                      </wps:txbx>
                      <wps:bodyPr rot="0" vert="horz" wrap="square" lIns="91440" tIns="45720" rIns="91440" bIns="45720" anchor="t" anchorCtr="0" upright="1">
                        <a:noAutofit/>
                      </wps:bodyPr>
                    </wps:wsp>
                  </a:graphicData>
                </a:graphic>
              </wp:inline>
            </w:drawing>
          </mc:Choice>
          <mc:Fallback>
            <w:pict>
              <v:shape w14:anchorId="00238879" id="Zone de texte 16" o:spid="_x0000_s1030" type="#_x0000_t202" style="width:453.6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" fillcolor="#006ce5" stroked="f">
                <v:textbox>
                  <w:txbxContent>
                    <w:p w:rsidR="00227D1C" w:rsidRDefault="00227D1C" w:rsidP="00227D1C">
                      <w:pPr>
                        <w:jc w:val="both"/>
                        <w:rPr>
                          <w:rFonts w:ascii="Segoe UI Historic" w:hAnsi="Segoe UI Historic" w:cs="Segoe UI Historic"/>
                          <w:color w:val="FFFFFF" w:themeColor="background1"/>
                          <w:szCs w:val="24"/>
                        </w:rPr>
                      </w:pPr>
                      <w:r>
                        <w:rPr>
                          <w:rFonts w:ascii="Segoe UI Historic" w:hAnsi="Segoe UI Historic" w:cs="Segoe UI Historic"/>
                          <w:color w:val="FFFFFF" w:themeColor="background1"/>
                          <w:szCs w:val="24"/>
                        </w:rPr>
                        <w:t xml:space="preserve">Des baisses de coûts et accès sur le financement pour les entreprises les plus touchées par la crise, notamment des PME, pour éviter les problèmes de trésorerie </w:t>
                      </w:r>
                    </w:p>
                  </w:txbxContent>
                </v:textbox>
                <w10:anchorlock/>
              </v:shape>
            </w:pict>
          </mc:Fallback>
        </mc:AlternateContent>
      </w:r>
    </w:p>
    <w:p w:rsidR="00227D1C" w:rsidRPr="0088772B" w:rsidRDefault="00227D1C" w:rsidP="00227D1C">
      <w:pPr>
        <w:spacing w:after="120" w:line="240" w:lineRule="auto"/>
        <w:jc w:val="both"/>
        <w:rPr>
          <w:rFonts w:ascii="Segoe UI" w:eastAsia="SimSun" w:hAnsi="Segoe UI" w:cs="Segoe UI"/>
          <w:color w:val="000000" w:themeColor="text1"/>
          <w:sz w:val="20"/>
          <w:szCs w:val="20"/>
          <w:lang w:eastAsia="ja-JP"/>
        </w:rPr>
      </w:pPr>
      <w:r w:rsidRPr="0088772B">
        <w:rPr>
          <w:rFonts w:ascii="Segoe UI" w:eastAsia="SimSun" w:hAnsi="Segoe UI" w:cs="Segoe UI"/>
          <w:color w:val="006CE5"/>
          <w:sz w:val="20"/>
          <w:szCs w:val="20"/>
          <w:u w:val="single"/>
        </w:rPr>
        <w:t>Des mesures de « sauvetage », budgétaires et monétaires, dont beaucoup sont temporaires, ont été annoncées pour éviter les mises en faillites des entreprises les plus durement touchées par la mise en place des mesures sanitaires strictes, notamment les PME et les industries des services (tourisme, hôtellerie,…).</w:t>
      </w:r>
      <w:r w:rsidRPr="0088772B">
        <w:rPr>
          <w:rFonts w:ascii="Segoe UI" w:eastAsia="SimSun" w:hAnsi="Segoe UI" w:cs="Segoe UI"/>
          <w:color w:val="006CE5"/>
          <w:sz w:val="20"/>
          <w:szCs w:val="20"/>
        </w:rPr>
        <w:t xml:space="preserve"> </w:t>
      </w:r>
      <w:r w:rsidRPr="0088772B">
        <w:rPr>
          <w:rFonts w:ascii="Segoe UI" w:eastAsia="SimSun" w:hAnsi="Segoe UI" w:cs="Segoe UI"/>
          <w:sz w:val="20"/>
          <w:szCs w:val="20"/>
        </w:rPr>
        <w:t xml:space="preserve">L’endurance d’un certain nombre d’acteurs face à la situation actuelle est limitée dans un </w:t>
      </w:r>
      <w:r w:rsidRPr="0088772B">
        <w:rPr>
          <w:rFonts w:ascii="Segoe UI" w:eastAsia="SimSun" w:hAnsi="Segoe UI" w:cs="Segoe UI"/>
          <w:sz w:val="20"/>
          <w:szCs w:val="20"/>
        </w:rPr>
        <w:lastRenderedPageBreak/>
        <w:t>contexte de baisse drastique des revenus et d’une hausse des coûts opérationnels.</w:t>
      </w:r>
      <w:r w:rsidRPr="0088772B">
        <w:rPr>
          <w:rFonts w:ascii="Segoe UI" w:eastAsia="SimSun" w:hAnsi="Segoe UI" w:cs="Segoe UI"/>
          <w:sz w:val="20"/>
          <w:szCs w:val="20"/>
          <w:lang w:eastAsia="ja-JP"/>
        </w:rPr>
        <w:t xml:space="preserve"> Les </w:t>
      </w:r>
      <w:r w:rsidRPr="0088772B">
        <w:rPr>
          <w:rFonts w:ascii="Segoe UI" w:eastAsia="SimSun" w:hAnsi="Segoe UI" w:cs="Segoe UI"/>
          <w:color w:val="000000" w:themeColor="text1"/>
          <w:sz w:val="20"/>
          <w:szCs w:val="20"/>
          <w:lang w:eastAsia="ja-JP"/>
        </w:rPr>
        <w:t>PME</w:t>
      </w:r>
      <w:r w:rsidRPr="0088772B">
        <w:rPr>
          <w:rFonts w:ascii="Segoe UI" w:eastAsia="SimSun" w:hAnsi="Segoe UI" w:cs="Segoe UI"/>
          <w:color w:val="000000" w:themeColor="text1"/>
          <w:sz w:val="20"/>
          <w:szCs w:val="20"/>
          <w:vertAlign w:val="superscript"/>
          <w:lang w:eastAsia="ja-JP"/>
        </w:rPr>
        <w:footnoteReference w:id="2"/>
      </w:r>
      <w:r w:rsidRPr="0088772B">
        <w:rPr>
          <w:rFonts w:ascii="Segoe UI" w:eastAsia="SimSun" w:hAnsi="Segoe UI" w:cs="Segoe UI"/>
          <w:color w:val="000000" w:themeColor="text1"/>
          <w:sz w:val="20"/>
          <w:szCs w:val="20"/>
          <w:lang w:eastAsia="ja-JP"/>
        </w:rPr>
        <w:t xml:space="preserve">  peinent à payer les salaires et pour certaines sont d’ores et déjà en situation critique.</w:t>
      </w:r>
    </w:p>
    <w:p w:rsidR="00227D1C" w:rsidRPr="0088772B" w:rsidRDefault="00227D1C" w:rsidP="00227D1C">
      <w:pPr>
        <w:spacing w:after="120" w:line="240" w:lineRule="auto"/>
        <w:jc w:val="both"/>
        <w:rPr>
          <w:rFonts w:ascii="Segoe UI" w:eastAsia="SimSun" w:hAnsi="Segoe UI" w:cs="Segoe UI"/>
          <w:color w:val="000000" w:themeColor="text1"/>
          <w:sz w:val="20"/>
          <w:szCs w:val="20"/>
          <w:lang w:eastAsia="ja-JP"/>
        </w:rPr>
      </w:pPr>
      <w:r w:rsidRPr="0088772B">
        <w:rPr>
          <w:rFonts w:ascii="Segoe UI" w:eastAsia="SimSun" w:hAnsi="Segoe UI" w:cs="Segoe UI"/>
          <w:color w:val="000000" w:themeColor="text1"/>
          <w:sz w:val="20"/>
          <w:szCs w:val="20"/>
          <w:lang w:eastAsia="ja-JP"/>
        </w:rPr>
        <w:t xml:space="preserve">Les PME avaient davantage pâti des mesures de restriction à l’égard du </w:t>
      </w:r>
      <w:r w:rsidRPr="0088772B">
        <w:rPr>
          <w:rFonts w:ascii="Segoe UI" w:eastAsia="SimSun" w:hAnsi="Segoe UI" w:cs="Segoe UI"/>
          <w:i/>
          <w:iCs/>
          <w:color w:val="000000" w:themeColor="text1"/>
          <w:sz w:val="20"/>
          <w:szCs w:val="20"/>
          <w:lang w:eastAsia="ja-JP"/>
        </w:rPr>
        <w:t>shadow banking</w:t>
      </w:r>
      <w:r w:rsidRPr="0088772B">
        <w:rPr>
          <w:rFonts w:ascii="Segoe UI" w:eastAsia="SimSun" w:hAnsi="Segoe UI" w:cs="Segoe UI"/>
          <w:color w:val="000000" w:themeColor="text1"/>
          <w:sz w:val="20"/>
          <w:szCs w:val="20"/>
          <w:lang w:eastAsia="ja-JP"/>
        </w:rPr>
        <w:t xml:space="preserve">, faute de soutien des banques publiques, et des tensions commerciales. Elles souffrent également de l’absence durable de </w:t>
      </w:r>
      <w:r w:rsidRPr="0088772B">
        <w:rPr>
          <w:rFonts w:ascii="Segoe UI" w:eastAsia="SimSun" w:hAnsi="Segoe UI" w:cs="Segoe UI"/>
          <w:i/>
          <w:iCs/>
          <w:color w:val="000000" w:themeColor="text1"/>
          <w:sz w:val="20"/>
          <w:szCs w:val="20"/>
          <w:lang w:eastAsia="ja-JP"/>
        </w:rPr>
        <w:t>level playing field</w:t>
      </w:r>
      <w:r w:rsidRPr="0088772B">
        <w:rPr>
          <w:rFonts w:ascii="Segoe UI" w:eastAsia="SimSun" w:hAnsi="Segoe UI" w:cs="Segoe UI"/>
          <w:color w:val="000000" w:themeColor="text1"/>
          <w:sz w:val="20"/>
          <w:szCs w:val="20"/>
          <w:lang w:eastAsia="ja-JP"/>
        </w:rPr>
        <w:t xml:space="preserve"> avec les SOE. Malgré les mesures de soutien annoncées, les banques demeurent réticentes à augmenter significativement leurs risques. Il est peu probable qu’un assouplissement monétaire ait un impact important sur les PME (à l’instar des mesures monétaires mises en place depuis 2018 pour soutenir le secteur privé/les PME) alors qu’elles portent la plus grande partie de la croissance, de la productivité et des emplois. En outre, une baisse des coûts de financement ne permet pas de répondre aux problèmes liés aux baisses de ventes et à la suspension des activités.</w:t>
      </w:r>
    </w:p>
    <w:p w:rsidR="00227D1C" w:rsidRPr="0088772B" w:rsidRDefault="00227D1C" w:rsidP="00227D1C">
      <w:pPr>
        <w:numPr>
          <w:ilvl w:val="0"/>
          <w:numId w:val="28"/>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b/>
          <w:bCs/>
          <w:sz w:val="20"/>
          <w:szCs w:val="20"/>
        </w:rPr>
        <w:t>Exemptions pour les micro, petites et moyennes entreprises de payer leurs cotisations aux trois types d’assurance sociale</w:t>
      </w:r>
      <w:r w:rsidRPr="0088772B">
        <w:rPr>
          <w:rFonts w:ascii="Segoe UI" w:eastAsia="SimSun" w:hAnsi="Segoe UI" w:cs="Segoe UI"/>
          <w:sz w:val="20"/>
          <w:szCs w:val="20"/>
        </w:rPr>
        <w:t xml:space="preserve"> (</w:t>
      </w:r>
      <w:r w:rsidRPr="0088772B">
        <w:rPr>
          <w:rFonts w:ascii="Segoe UI" w:eastAsia="SimSun" w:hAnsi="Segoe UI" w:cs="Segoe UI"/>
          <w:i/>
          <w:sz w:val="20"/>
          <w:szCs w:val="20"/>
        </w:rPr>
        <w:t>employers’ contributions to the old-age pension, unemployment and workplace safety insurance plans</w:t>
      </w:r>
      <w:r w:rsidRPr="0088772B">
        <w:rPr>
          <w:rFonts w:ascii="Segoe UI" w:eastAsia="SimSun" w:hAnsi="Segoe UI" w:cs="Segoe UI"/>
          <w:sz w:val="20"/>
          <w:szCs w:val="20"/>
        </w:rPr>
        <w:t>) pour une période de 5 mois. Pour les grandes entreprises et « autres entités » (à l’exception des institutions publiques et des organismes gouvernementaux), les contributions peuvent être réduites de moitié pour une période de 3 mois. La province du Hubei peut exempter tout type d’entreprise (sauf les organismes gouvernementaux et institutions publiques) du paiement de ces cotisations pour une période de 5 mois. Les entreprises en « grandes difficultés » à cause de l’épidémie peuvent différer le paiement de leurs cotisations (jusqu’à 6 mois).</w:t>
      </w:r>
    </w:p>
    <w:p w:rsidR="00227D1C" w:rsidRPr="0088772B" w:rsidRDefault="00227D1C" w:rsidP="00227D1C">
      <w:pPr>
        <w:numPr>
          <w:ilvl w:val="0"/>
          <w:numId w:val="28"/>
        </w:numPr>
        <w:spacing w:after="120" w:line="240" w:lineRule="auto"/>
        <w:ind w:left="284"/>
        <w:jc w:val="both"/>
        <w:rPr>
          <w:rFonts w:ascii="Segoe UI" w:eastAsia="SimSun" w:hAnsi="Segoe UI" w:cs="Segoe UI"/>
          <w:color w:val="000000"/>
          <w:sz w:val="20"/>
          <w:szCs w:val="20"/>
        </w:rPr>
      </w:pPr>
      <w:r w:rsidRPr="0088772B">
        <w:rPr>
          <w:rFonts w:ascii="Segoe UI" w:eastAsia="SimSun" w:hAnsi="Segoe UI" w:cs="Segoe UI"/>
          <w:sz w:val="20"/>
          <w:szCs w:val="20"/>
        </w:rPr>
        <w:t xml:space="preserve">Réduction de moitié des cotisations à l’assurance maladie pendant 5 mois. </w:t>
      </w:r>
    </w:p>
    <w:p w:rsidR="00227D1C" w:rsidRPr="0088772B" w:rsidRDefault="00227D1C" w:rsidP="00227D1C">
      <w:pPr>
        <w:numPr>
          <w:ilvl w:val="0"/>
          <w:numId w:val="28"/>
        </w:numPr>
        <w:spacing w:after="120" w:line="240" w:lineRule="auto"/>
        <w:ind w:left="284"/>
        <w:jc w:val="both"/>
        <w:rPr>
          <w:rFonts w:ascii="Segoe UI" w:eastAsia="SimSun" w:hAnsi="Segoe UI" w:cs="Segoe UI"/>
          <w:color w:val="000000"/>
          <w:sz w:val="20"/>
          <w:szCs w:val="20"/>
        </w:rPr>
      </w:pPr>
      <w:r w:rsidRPr="0088772B">
        <w:rPr>
          <w:rFonts w:ascii="Segoe UI" w:eastAsia="SimSun" w:hAnsi="Segoe UI" w:cs="Segoe UI"/>
          <w:sz w:val="20"/>
          <w:szCs w:val="20"/>
        </w:rPr>
        <w:t>Report des cotisations au fonds de logement (</w:t>
      </w:r>
      <w:r w:rsidRPr="0088772B">
        <w:rPr>
          <w:rFonts w:ascii="Segoe UI" w:eastAsia="SimSun" w:hAnsi="Segoe UI" w:cs="Segoe UI"/>
          <w:i/>
          <w:sz w:val="20"/>
          <w:szCs w:val="20"/>
        </w:rPr>
        <w:t>housing provident fund</w:t>
      </w:r>
      <w:r w:rsidRPr="0088772B">
        <w:rPr>
          <w:rFonts w:ascii="Segoe UI" w:eastAsia="SimSun" w:hAnsi="Segoe UI" w:cs="Segoe UI"/>
          <w:sz w:val="20"/>
          <w:szCs w:val="20"/>
        </w:rPr>
        <w:t>) jusqu'au 30 juin.</w:t>
      </w:r>
    </w:p>
    <w:p w:rsidR="00227D1C" w:rsidRPr="0088772B" w:rsidRDefault="00227D1C" w:rsidP="00227D1C">
      <w:pPr>
        <w:numPr>
          <w:ilvl w:val="0"/>
          <w:numId w:val="28"/>
        </w:numPr>
        <w:spacing w:after="120" w:line="240" w:lineRule="auto"/>
        <w:ind w:left="284"/>
        <w:jc w:val="both"/>
        <w:rPr>
          <w:rFonts w:ascii="Segoe UI" w:eastAsia="SimSun" w:hAnsi="Segoe UI" w:cs="Segoe UI"/>
          <w:color w:val="000000"/>
          <w:sz w:val="20"/>
          <w:szCs w:val="20"/>
        </w:rPr>
      </w:pPr>
      <w:r w:rsidRPr="0088772B">
        <w:rPr>
          <w:rFonts w:ascii="Segoe UI" w:eastAsia="SimSun" w:hAnsi="Segoe UI" w:cs="Segoe UI"/>
          <w:b/>
          <w:bCs/>
          <w:color w:val="000000"/>
          <w:sz w:val="20"/>
          <w:szCs w:val="20"/>
        </w:rPr>
        <w:t>Les propriétaires seront encouragés à abaisser les loyers</w:t>
      </w:r>
      <w:r w:rsidRPr="0088772B">
        <w:rPr>
          <w:rFonts w:ascii="Segoe UI" w:eastAsia="SimSun" w:hAnsi="Segoe UI" w:cs="Segoe UI"/>
          <w:color w:val="000000"/>
          <w:sz w:val="20"/>
          <w:szCs w:val="20"/>
        </w:rPr>
        <w:t xml:space="preserve"> pour les commerçants individuels (individual business) en tirant profit de l’exemption de la taxe sur l’utilisation des terrains (land use tax) et autres politiques de soutien.</w:t>
      </w:r>
    </w:p>
    <w:p w:rsidR="00227D1C" w:rsidRPr="0088772B" w:rsidRDefault="00227D1C" w:rsidP="00227D1C">
      <w:pPr>
        <w:numPr>
          <w:ilvl w:val="0"/>
          <w:numId w:val="28"/>
        </w:numPr>
        <w:spacing w:after="120" w:line="240" w:lineRule="auto"/>
        <w:ind w:left="284"/>
        <w:jc w:val="both"/>
        <w:rPr>
          <w:rFonts w:ascii="Segoe UI" w:eastAsia="SimSun" w:hAnsi="Segoe UI" w:cs="Segoe UI"/>
          <w:sz w:val="20"/>
          <w:szCs w:val="20"/>
        </w:rPr>
      </w:pPr>
      <w:r w:rsidRPr="0088772B">
        <w:rPr>
          <w:rFonts w:ascii="Segoe UI" w:eastAsia="SimSun" w:hAnsi="Segoe UI" w:cs="Segoe UI"/>
          <w:sz w:val="20"/>
          <w:szCs w:val="20"/>
        </w:rPr>
        <w:t xml:space="preserve">Les institutions financières sont encouragées à </w:t>
      </w:r>
      <w:r w:rsidRPr="0088772B">
        <w:rPr>
          <w:rFonts w:ascii="Segoe UI" w:eastAsia="SimSun" w:hAnsi="Segoe UI" w:cs="Segoe UI"/>
          <w:b/>
          <w:bCs/>
          <w:sz w:val="20"/>
          <w:szCs w:val="20"/>
        </w:rPr>
        <w:t>différer le remboursement du principal des prêts des micro, petites et moyennes entreprises.</w:t>
      </w:r>
      <w:r w:rsidRPr="0088772B">
        <w:rPr>
          <w:rFonts w:ascii="Segoe UI" w:eastAsia="SimSun" w:hAnsi="Segoe UI" w:cs="Segoe UI"/>
          <w:sz w:val="20"/>
          <w:szCs w:val="20"/>
        </w:rPr>
        <w:t xml:space="preserve"> En outre, les </w:t>
      </w:r>
      <w:r w:rsidRPr="0088772B">
        <w:rPr>
          <w:rFonts w:ascii="Segoe UI" w:eastAsia="SimSun" w:hAnsi="Segoe UI" w:cs="Segoe UI"/>
          <w:b/>
          <w:bCs/>
          <w:sz w:val="20"/>
          <w:szCs w:val="20"/>
        </w:rPr>
        <w:t>versements des intérêts pourront être différés jusqu’au 30 juin, sans pénalités.</w:t>
      </w:r>
      <w:r w:rsidRPr="0088772B">
        <w:rPr>
          <w:rFonts w:ascii="Segoe UI" w:eastAsia="SimSun" w:hAnsi="Segoe UI" w:cs="Segoe UI"/>
          <w:sz w:val="20"/>
          <w:szCs w:val="20"/>
        </w:rPr>
        <w:t xml:space="preserve"> Cette politique s’appliquera à tous les types d’entreprises dans le Hubei.</w:t>
      </w:r>
    </w:p>
    <w:p w:rsidR="00227D1C" w:rsidRPr="0088772B" w:rsidRDefault="00227D1C" w:rsidP="00227D1C">
      <w:pPr>
        <w:numPr>
          <w:ilvl w:val="0"/>
          <w:numId w:val="28"/>
        </w:numPr>
        <w:spacing w:after="120" w:line="240" w:lineRule="auto"/>
        <w:ind w:left="284"/>
        <w:jc w:val="both"/>
        <w:rPr>
          <w:rFonts w:ascii="Segoe UI" w:eastAsia="SimSun" w:hAnsi="Segoe UI" w:cs="Segoe UI"/>
          <w:sz w:val="20"/>
          <w:szCs w:val="20"/>
        </w:rPr>
      </w:pPr>
      <w:r w:rsidRPr="0088772B">
        <w:rPr>
          <w:rFonts w:ascii="Segoe UI" w:eastAsia="SimSun" w:hAnsi="Segoe UI" w:cs="Segoe UI"/>
          <w:b/>
          <w:bCs/>
          <w:sz w:val="20"/>
          <w:szCs w:val="20"/>
        </w:rPr>
        <w:t xml:space="preserve">Les quotas des programmes de </w:t>
      </w:r>
      <w:r w:rsidRPr="0088772B">
        <w:rPr>
          <w:rFonts w:ascii="Segoe UI" w:eastAsia="SimSun" w:hAnsi="Segoe UI" w:cs="Segoe UI"/>
          <w:b/>
          <w:bCs/>
          <w:i/>
          <w:sz w:val="20"/>
          <w:szCs w:val="20"/>
        </w:rPr>
        <w:t>re-lending</w:t>
      </w:r>
      <w:r w:rsidRPr="0088772B">
        <w:rPr>
          <w:rFonts w:ascii="Segoe UI" w:eastAsia="SimSun" w:hAnsi="Segoe UI" w:cs="Segoe UI"/>
          <w:b/>
          <w:bCs/>
          <w:sz w:val="20"/>
          <w:szCs w:val="20"/>
        </w:rPr>
        <w:t xml:space="preserve"> et de </w:t>
      </w:r>
      <w:r w:rsidRPr="0088772B">
        <w:rPr>
          <w:rFonts w:ascii="Segoe UI" w:eastAsia="SimSun" w:hAnsi="Segoe UI" w:cs="Segoe UI"/>
          <w:b/>
          <w:bCs/>
          <w:i/>
          <w:sz w:val="20"/>
          <w:szCs w:val="20"/>
        </w:rPr>
        <w:t>re-discount</w:t>
      </w:r>
      <w:r w:rsidRPr="0088772B">
        <w:rPr>
          <w:rFonts w:ascii="Segoe UI" w:eastAsia="SimSun" w:hAnsi="Segoe UI" w:cs="Segoe UI"/>
          <w:sz w:val="20"/>
          <w:szCs w:val="20"/>
        </w:rPr>
        <w:t xml:space="preserve"> (la PBoC accorde des liquidités bon marché aux banques qui utilisent ces dernières pour prêter à des entreprises désignées) seront augmentés de </w:t>
      </w:r>
      <w:r w:rsidRPr="0088772B">
        <w:rPr>
          <w:rFonts w:ascii="Segoe UI" w:eastAsia="SimSun" w:hAnsi="Segoe UI" w:cs="Segoe UI"/>
          <w:b/>
          <w:bCs/>
          <w:sz w:val="20"/>
          <w:szCs w:val="20"/>
        </w:rPr>
        <w:t>500 Mds CNY</w:t>
      </w:r>
      <w:r w:rsidRPr="0088772B">
        <w:rPr>
          <w:rFonts w:ascii="Segoe UI" w:eastAsia="SimSun" w:hAnsi="Segoe UI" w:cs="Segoe UI"/>
          <w:sz w:val="20"/>
          <w:szCs w:val="20"/>
        </w:rPr>
        <w:t xml:space="preserve"> (</w:t>
      </w:r>
      <w:r w:rsidRPr="0088772B">
        <w:rPr>
          <w:rFonts w:ascii="Segoe UI" w:eastAsia="SimSun" w:hAnsi="Segoe UI" w:cs="Segoe UI"/>
          <w:sz w:val="20"/>
          <w:szCs w:val="20"/>
          <w:lang w:eastAsia="zh-CN"/>
        </w:rPr>
        <w:t xml:space="preserve">100Mds CNY de </w:t>
      </w:r>
      <w:r w:rsidRPr="0088772B">
        <w:rPr>
          <w:rFonts w:ascii="Segoe UI" w:eastAsia="SimSun" w:hAnsi="Segoe UI" w:cs="Segoe UI"/>
          <w:i/>
          <w:sz w:val="20"/>
          <w:szCs w:val="20"/>
          <w:lang w:eastAsia="zh-CN"/>
        </w:rPr>
        <w:t>refinancing</w:t>
      </w:r>
      <w:r w:rsidRPr="0088772B">
        <w:rPr>
          <w:rFonts w:ascii="Segoe UI" w:eastAsia="SimSun" w:hAnsi="Segoe UI" w:cs="Segoe UI"/>
          <w:sz w:val="20"/>
          <w:szCs w:val="20"/>
          <w:lang w:eastAsia="zh-CN"/>
        </w:rPr>
        <w:t xml:space="preserve"> pour les agriculteurs, 300Mds CNY de </w:t>
      </w:r>
      <w:r w:rsidRPr="0088772B">
        <w:rPr>
          <w:rFonts w:ascii="Segoe UI" w:eastAsia="SimSun" w:hAnsi="Segoe UI" w:cs="Segoe UI"/>
          <w:i/>
          <w:sz w:val="20"/>
          <w:szCs w:val="20"/>
          <w:lang w:eastAsia="zh-CN"/>
        </w:rPr>
        <w:t>refinancing</w:t>
      </w:r>
      <w:r w:rsidRPr="0088772B">
        <w:rPr>
          <w:rFonts w:ascii="Segoe UI" w:eastAsia="SimSun" w:hAnsi="Segoe UI" w:cs="Segoe UI"/>
          <w:sz w:val="20"/>
          <w:szCs w:val="20"/>
          <w:lang w:eastAsia="zh-CN"/>
        </w:rPr>
        <w:t xml:space="preserve"> pour les PME et 100Mds CNY de </w:t>
      </w:r>
      <w:r w:rsidRPr="0088772B">
        <w:rPr>
          <w:rFonts w:ascii="Segoe UI" w:eastAsia="SimSun" w:hAnsi="Segoe UI" w:cs="Segoe UI"/>
          <w:i/>
          <w:sz w:val="20"/>
          <w:szCs w:val="20"/>
          <w:lang w:eastAsia="zh-CN"/>
        </w:rPr>
        <w:t>rediscount</w:t>
      </w:r>
      <w:r w:rsidRPr="0088772B">
        <w:rPr>
          <w:rFonts w:ascii="Segoe UI" w:eastAsia="SimSun" w:hAnsi="Segoe UI" w:cs="Segoe UI"/>
          <w:sz w:val="20"/>
          <w:szCs w:val="20"/>
          <w:lang w:eastAsia="zh-CN"/>
        </w:rPr>
        <w:t xml:space="preserve"> pour les agriculteurs)</w:t>
      </w:r>
      <w:r w:rsidRPr="0088772B">
        <w:rPr>
          <w:rFonts w:ascii="Segoe UI" w:eastAsia="SimSun" w:hAnsi="Segoe UI" w:cs="Segoe UI"/>
          <w:sz w:val="20"/>
          <w:szCs w:val="20"/>
        </w:rPr>
        <w:t>. Le coût moyen de ce financement est annoncé à 1,28% (le Conseil des affaires d’Etat avait demandé à ce que le coût moyen de financement par ce canal soit inférieur à 1,6% début février, au lancement du programme). En outre, le taux de refinancement (</w:t>
      </w:r>
      <w:r w:rsidRPr="0088772B">
        <w:rPr>
          <w:rFonts w:ascii="Segoe UI" w:eastAsia="SimSun" w:hAnsi="Segoe UI" w:cs="Segoe UI"/>
          <w:i/>
          <w:sz w:val="20"/>
          <w:szCs w:val="20"/>
        </w:rPr>
        <w:t>re-lending rate</w:t>
      </w:r>
      <w:r w:rsidRPr="0088772B">
        <w:rPr>
          <w:rFonts w:ascii="Segoe UI" w:eastAsia="SimSun" w:hAnsi="Segoe UI" w:cs="Segoe UI"/>
          <w:sz w:val="20"/>
          <w:szCs w:val="20"/>
        </w:rPr>
        <w:t>) ciblant les zones agricoles sera abaissé de 25 pdb à 2,5%</w:t>
      </w:r>
      <w:r w:rsidRPr="0088772B">
        <w:rPr>
          <w:rFonts w:ascii="Segoe UI" w:eastAsia="SimSun" w:hAnsi="Segoe UI" w:cs="Segoe UI"/>
          <w:sz w:val="20"/>
          <w:szCs w:val="20"/>
          <w:vertAlign w:val="superscript"/>
        </w:rPr>
        <w:footnoteReference w:id="3"/>
      </w:r>
      <w:r w:rsidRPr="0088772B">
        <w:rPr>
          <w:rFonts w:ascii="Segoe UI" w:eastAsia="SimSun" w:hAnsi="Segoe UI" w:cs="Segoe UI"/>
          <w:sz w:val="20"/>
          <w:szCs w:val="20"/>
        </w:rPr>
        <w:t xml:space="preserve">. </w:t>
      </w:r>
    </w:p>
    <w:p w:rsidR="00227D1C" w:rsidRPr="0088772B" w:rsidRDefault="00227D1C" w:rsidP="00227D1C">
      <w:pPr>
        <w:numPr>
          <w:ilvl w:val="0"/>
          <w:numId w:val="28"/>
        </w:numPr>
        <w:spacing w:after="120" w:line="240" w:lineRule="auto"/>
        <w:ind w:left="284"/>
        <w:jc w:val="both"/>
        <w:rPr>
          <w:rFonts w:ascii="Segoe UI" w:eastAsia="SimSun" w:hAnsi="Segoe UI" w:cs="Segoe UI"/>
          <w:sz w:val="20"/>
          <w:szCs w:val="20"/>
        </w:rPr>
      </w:pPr>
      <w:r w:rsidRPr="0088772B">
        <w:rPr>
          <w:rFonts w:ascii="Segoe UI" w:eastAsia="SimSun" w:hAnsi="Segoe UI" w:cs="Segoe UI"/>
          <w:sz w:val="20"/>
          <w:szCs w:val="20"/>
        </w:rPr>
        <w:t xml:space="preserve">Les grandes banques commerciales d’Etat sont encouragées à augmenter leurs prêts à destination des micros et petites entreprises (les prêts inclusifs seront augmentés d’au moins 30% par rapport à l’année dernière). En outre les </w:t>
      </w:r>
      <w:r w:rsidRPr="0088772B">
        <w:rPr>
          <w:rFonts w:ascii="Segoe UI" w:eastAsia="SimSun" w:hAnsi="Segoe UI" w:cs="Segoe UI"/>
          <w:i/>
          <w:sz w:val="20"/>
          <w:szCs w:val="20"/>
        </w:rPr>
        <w:t xml:space="preserve">policy banks </w:t>
      </w:r>
      <w:r w:rsidRPr="0088772B">
        <w:rPr>
          <w:rFonts w:ascii="Segoe UI" w:eastAsia="SimSun" w:hAnsi="Segoe UI" w:cs="Segoe UI"/>
          <w:sz w:val="20"/>
          <w:szCs w:val="20"/>
        </w:rPr>
        <w:t xml:space="preserve">augmenteront le quota de </w:t>
      </w:r>
      <w:r w:rsidRPr="0088772B">
        <w:rPr>
          <w:rFonts w:ascii="Segoe UI" w:eastAsia="SimSun" w:hAnsi="Segoe UI" w:cs="Segoe UI"/>
          <w:i/>
          <w:sz w:val="20"/>
          <w:szCs w:val="20"/>
        </w:rPr>
        <w:t xml:space="preserve">special credit </w:t>
      </w:r>
      <w:r w:rsidRPr="0088772B">
        <w:rPr>
          <w:rFonts w:ascii="Segoe UI" w:eastAsia="SimSun" w:hAnsi="Segoe UI" w:cs="Segoe UI"/>
          <w:sz w:val="20"/>
          <w:szCs w:val="20"/>
        </w:rPr>
        <w:t xml:space="preserve">à des taux d’intérêt préférentiels pour les micro, petites et moyennes entreprises de 350 Mds CNY. </w:t>
      </w:r>
    </w:p>
    <w:p w:rsidR="00227D1C" w:rsidRPr="0088772B" w:rsidRDefault="00227D1C" w:rsidP="00227D1C">
      <w:pPr>
        <w:numPr>
          <w:ilvl w:val="0"/>
          <w:numId w:val="28"/>
        </w:numPr>
        <w:spacing w:after="120" w:line="240" w:lineRule="auto"/>
        <w:ind w:left="284"/>
        <w:jc w:val="both"/>
        <w:rPr>
          <w:rFonts w:ascii="Segoe UI" w:eastAsia="SimSun" w:hAnsi="Segoe UI" w:cs="Segoe UI"/>
          <w:sz w:val="20"/>
          <w:szCs w:val="20"/>
        </w:rPr>
      </w:pPr>
      <w:r w:rsidRPr="0088772B">
        <w:rPr>
          <w:rFonts w:ascii="Segoe UI" w:eastAsia="SimSun" w:hAnsi="Segoe UI" w:cs="Segoe UI"/>
          <w:b/>
          <w:bCs/>
          <w:sz w:val="20"/>
          <w:szCs w:val="20"/>
        </w:rPr>
        <w:lastRenderedPageBreak/>
        <w:t xml:space="preserve">Le taux du </w:t>
      </w:r>
      <w:r w:rsidRPr="0088772B">
        <w:rPr>
          <w:rFonts w:ascii="Segoe UI" w:eastAsia="SimSun" w:hAnsi="Segoe UI" w:cs="Segoe UI"/>
          <w:b/>
          <w:bCs/>
          <w:i/>
          <w:sz w:val="20"/>
          <w:szCs w:val="20"/>
        </w:rPr>
        <w:t>Loan Prime Rate</w:t>
      </w:r>
      <w:r w:rsidRPr="0088772B">
        <w:rPr>
          <w:rFonts w:ascii="Segoe UI" w:eastAsia="SimSun" w:hAnsi="Segoe UI" w:cs="Segoe UI"/>
          <w:b/>
          <w:bCs/>
          <w:sz w:val="20"/>
          <w:szCs w:val="20"/>
        </w:rPr>
        <w:t xml:space="preserve"> (LPR) à un an a été abaissé de 20 pdb à 3,85 </w:t>
      </w:r>
      <w:r w:rsidRPr="0088772B">
        <w:rPr>
          <w:rFonts w:ascii="Segoe UI" w:eastAsia="SimSun" w:hAnsi="Segoe UI" w:cs="Segoe UI"/>
          <w:sz w:val="20"/>
          <w:szCs w:val="20"/>
        </w:rPr>
        <w:t xml:space="preserve">% le 20 avril, après une première baisse de 10 pdb le 20 février (il s’agit de la 5e réduction depuis la réforme du LPR le 16 août 2019). Le taux du LPR à 5 ans a été abaissé de 10 pdb à 4,65 % le 20 avril, après une première baisse  de 5 pdb à 4,75 % le 20 février. </w:t>
      </w:r>
    </w:p>
    <w:p w:rsidR="00227D1C" w:rsidRPr="0088772B" w:rsidRDefault="00227D1C" w:rsidP="00227D1C">
      <w:pPr>
        <w:numPr>
          <w:ilvl w:val="0"/>
          <w:numId w:val="28"/>
        </w:numPr>
        <w:spacing w:after="120" w:line="240" w:lineRule="auto"/>
        <w:ind w:left="284"/>
        <w:jc w:val="both"/>
        <w:rPr>
          <w:rFonts w:ascii="Segoe UI" w:eastAsia="SimSun" w:hAnsi="Segoe UI" w:cs="Segoe UI"/>
          <w:sz w:val="20"/>
          <w:szCs w:val="20"/>
        </w:rPr>
      </w:pPr>
      <w:r w:rsidRPr="0088772B">
        <w:rPr>
          <w:rFonts w:ascii="Segoe UI" w:eastAsia="SimSun" w:hAnsi="Segoe UI" w:cs="Segoe UI"/>
          <w:sz w:val="20"/>
          <w:szCs w:val="20"/>
        </w:rPr>
        <w:t>Le délai de déclaration des impôts portant sur le mois d’avril a été repoussé pour les entreprises du 15 au 22 mai, avec possibilité à une entreprise en difficulté en raison de la crise d’obtenir un délai supplémentaire.</w:t>
      </w:r>
    </w:p>
    <w:p w:rsidR="00227D1C" w:rsidRPr="0088772B" w:rsidRDefault="00227D1C" w:rsidP="00227D1C">
      <w:pPr>
        <w:numPr>
          <w:ilvl w:val="0"/>
          <w:numId w:val="28"/>
        </w:numPr>
        <w:spacing w:after="120" w:line="240" w:lineRule="auto"/>
        <w:ind w:left="284"/>
        <w:jc w:val="both"/>
        <w:rPr>
          <w:rFonts w:ascii="Segoe UI" w:eastAsia="SimSun" w:hAnsi="Segoe UI" w:cs="Segoe UI"/>
          <w:sz w:val="20"/>
          <w:szCs w:val="20"/>
        </w:rPr>
      </w:pPr>
      <w:r w:rsidRPr="0088772B">
        <w:rPr>
          <w:rFonts w:ascii="Segoe UI" w:eastAsia="SimSun" w:hAnsi="Segoe UI" w:cs="Segoe UI"/>
          <w:sz w:val="20"/>
          <w:szCs w:val="20"/>
        </w:rPr>
        <w:t>Extension après la fin mai, et jusqu’au 31 décembre, du dispositif d’exonération de TVA pour les petits contribuables (</w:t>
      </w:r>
      <w:r w:rsidRPr="0088772B">
        <w:rPr>
          <w:rFonts w:ascii="Segoe UI" w:eastAsia="SimSun" w:hAnsi="Segoe UI" w:cs="Segoe UI"/>
          <w:i/>
          <w:sz w:val="20"/>
          <w:szCs w:val="20"/>
        </w:rPr>
        <w:t>small-scale taxpayers</w:t>
      </w:r>
      <w:r w:rsidRPr="0088772B">
        <w:rPr>
          <w:rFonts w:ascii="Segoe UI" w:eastAsia="SimSun" w:hAnsi="Segoe UI" w:cs="Segoe UI"/>
          <w:sz w:val="20"/>
          <w:szCs w:val="20"/>
        </w:rPr>
        <w:t>, commerçants individuels) de la province du Hubei, et d’abaissement du taux de prélèvement dans les autres provinces de 3 % à 1 %.</w:t>
      </w:r>
    </w:p>
    <w:p w:rsidR="00227D1C" w:rsidRPr="0088772B" w:rsidRDefault="00227D1C" w:rsidP="00227D1C">
      <w:pPr>
        <w:numPr>
          <w:ilvl w:val="0"/>
          <w:numId w:val="28"/>
        </w:numPr>
        <w:spacing w:after="120" w:line="240" w:lineRule="auto"/>
        <w:ind w:left="284"/>
        <w:jc w:val="both"/>
        <w:rPr>
          <w:rFonts w:ascii="Segoe UI" w:eastAsia="SimSun" w:hAnsi="Segoe UI" w:cs="Segoe UI"/>
          <w:sz w:val="20"/>
          <w:szCs w:val="20"/>
        </w:rPr>
      </w:pPr>
      <w:r w:rsidRPr="0088772B">
        <w:rPr>
          <w:rFonts w:ascii="Segoe UI" w:eastAsia="SimSun" w:hAnsi="Segoe UI" w:cs="Segoe UI"/>
          <w:color w:val="000000" w:themeColor="text1"/>
          <w:sz w:val="20"/>
          <w:szCs w:val="20"/>
          <w:lang w:eastAsia="ja-JP"/>
        </w:rPr>
        <w:t xml:space="preserve">Les charges d’électricité et d’eau sont réduites. </w:t>
      </w:r>
    </w:p>
    <w:p w:rsidR="00227D1C" w:rsidRPr="0088772B" w:rsidRDefault="00227D1C" w:rsidP="00227D1C">
      <w:pPr>
        <w:numPr>
          <w:ilvl w:val="0"/>
          <w:numId w:val="28"/>
        </w:numPr>
        <w:spacing w:after="120" w:line="240" w:lineRule="auto"/>
        <w:ind w:left="284"/>
        <w:jc w:val="both"/>
        <w:rPr>
          <w:rFonts w:ascii="Segoe UI" w:eastAsia="SimSun" w:hAnsi="Segoe UI" w:cs="Segoe UI"/>
          <w:sz w:val="20"/>
          <w:szCs w:val="20"/>
        </w:rPr>
      </w:pPr>
      <w:r w:rsidRPr="0088772B">
        <w:rPr>
          <w:rFonts w:ascii="Segoe UI" w:eastAsia="SimSun" w:hAnsi="Segoe UI" w:cs="Segoe UI"/>
          <w:color w:val="000000" w:themeColor="text1"/>
          <w:sz w:val="20"/>
          <w:szCs w:val="20"/>
          <w:lang w:eastAsia="ja-JP"/>
        </w:rPr>
        <w:t xml:space="preserve">Les agences d'assurance et de réassurance </w:t>
      </w:r>
      <w:r w:rsidRPr="0088772B">
        <w:rPr>
          <w:rFonts w:ascii="Segoe UI" w:eastAsia="SimSun" w:hAnsi="Segoe UI" w:cs="Segoe UI"/>
          <w:sz w:val="20"/>
          <w:szCs w:val="20"/>
        </w:rPr>
        <w:t>des gouvernements locaux à tous les niveaux réduiront de moitié leurs frais pour les PME en 2020, et s'efforceront de réduire le taux de garantie globale de financement pour les PME à moins de 1 %. Le Fonds de garantie de financement de l'État sera quant à lui encouragé à accélérer les prises de participation et à investir dans 10 institutions de garantie de financement des gouvernements municipaux.</w:t>
      </w:r>
    </w:p>
    <w:p w:rsidR="00227D1C" w:rsidRDefault="00227D1C" w:rsidP="00227D1C">
      <w:pPr>
        <w:numPr>
          <w:ilvl w:val="0"/>
          <w:numId w:val="28"/>
        </w:numPr>
        <w:spacing w:after="120" w:line="240" w:lineRule="auto"/>
        <w:ind w:left="284"/>
        <w:jc w:val="both"/>
        <w:rPr>
          <w:rFonts w:ascii="Segoe UI" w:eastAsia="SimSun" w:hAnsi="Segoe UI" w:cs="Segoe UI"/>
          <w:sz w:val="20"/>
          <w:szCs w:val="20"/>
        </w:rPr>
      </w:pPr>
      <w:r w:rsidRPr="0088772B">
        <w:rPr>
          <w:rFonts w:ascii="Segoe UI" w:eastAsia="SimSun" w:hAnsi="Segoe UI" w:cs="Segoe UI"/>
          <w:b/>
          <w:sz w:val="20"/>
          <w:szCs w:val="20"/>
        </w:rPr>
        <w:t xml:space="preserve">Le Conseil des affaires d’Etat a annoncé l’extension jusqu’à 2023 des avantages fiscaux dont bénéficient les établissements de crédit prêtant aux TPE, aux auto-entrepreneurs et aux exploitations agricoles privées. </w:t>
      </w:r>
      <w:r w:rsidRPr="0088772B">
        <w:rPr>
          <w:rFonts w:ascii="Segoe UI" w:eastAsia="SimSun" w:hAnsi="Segoe UI" w:cs="Segoe UI"/>
          <w:sz w:val="20"/>
          <w:szCs w:val="20"/>
        </w:rPr>
        <w:t>L’extension de ces dispositifs a été annoncée à l’issue d’une réunion du comité exécutif du Conseil des affaires d’Etat présidé par le Premier ministre Li Keqiang. La taxe sur la valeur ajoutée ne viendra pas grever les revenus d'intérêts perçus sur les prêts accordés dans la limite d'un million de yuans  aux petites et micro-entreprises, aux auto-entrepreneurs et aux exploitations agricoles privées. Les revenus d'intérêts perçus sur les prêts accordés dans la limite de 100 000 yuans  aux petits exploitants agricoles ainsi que les primes d'assurance issues de polices d'assurance accordées aux exploitations agricoles et d’élevage seront évalués à 90% pour le calcul du revenu imposable total.</w:t>
      </w:r>
    </w:p>
    <w:p w:rsidR="00227D1C" w:rsidRPr="00861E72" w:rsidRDefault="00227D1C" w:rsidP="00227D1C">
      <w:pPr>
        <w:numPr>
          <w:ilvl w:val="0"/>
          <w:numId w:val="28"/>
        </w:numPr>
        <w:spacing w:after="120" w:line="240" w:lineRule="auto"/>
        <w:ind w:left="284"/>
        <w:jc w:val="both"/>
        <w:rPr>
          <w:rFonts w:ascii="Segoe UI" w:eastAsia="SimSun" w:hAnsi="Segoe UI" w:cs="Segoe UI"/>
          <w:sz w:val="20"/>
          <w:szCs w:val="20"/>
        </w:rPr>
      </w:pPr>
      <w:r>
        <w:rPr>
          <w:rFonts w:ascii="Segoe UI" w:eastAsia="SimSun" w:hAnsi="Segoe UI" w:cs="Segoe UI"/>
          <w:sz w:val="20"/>
          <w:szCs w:val="20"/>
        </w:rPr>
        <w:t>La PBoC, le m</w:t>
      </w:r>
      <w:r w:rsidRPr="00861E72">
        <w:rPr>
          <w:rFonts w:ascii="Segoe UI" w:eastAsia="SimSun" w:hAnsi="Segoe UI" w:cs="Segoe UI"/>
          <w:sz w:val="20"/>
          <w:szCs w:val="20"/>
        </w:rPr>
        <w:t>inistère des Finances, le régulateur des banques et des assurances (CBIRC) et la Commission nationale de la Réforme et du Développement (NDRC) ont annoncé début juin de nouvelles mesures de soutien financier renforcées aux petites et micro entreprises : rachat par la PBoC de 40</w:t>
      </w:r>
      <w:r>
        <w:rPr>
          <w:rFonts w:ascii="Segoe UI" w:eastAsia="SimSun" w:hAnsi="Segoe UI" w:cs="Segoe UI"/>
          <w:sz w:val="20"/>
          <w:szCs w:val="20"/>
        </w:rPr>
        <w:t> </w:t>
      </w:r>
      <w:r w:rsidRPr="00861E72">
        <w:rPr>
          <w:rFonts w:ascii="Segoe UI" w:eastAsia="SimSun" w:hAnsi="Segoe UI" w:cs="Segoe UI"/>
          <w:sz w:val="20"/>
          <w:szCs w:val="20"/>
        </w:rPr>
        <w:t>% des crédits accordés par les banques aux petites et micro entreprises entre le 1</w:t>
      </w:r>
      <w:r w:rsidRPr="00B75F26">
        <w:rPr>
          <w:rFonts w:ascii="Segoe UI" w:eastAsia="SimSun" w:hAnsi="Segoe UI" w:cs="Segoe UI"/>
          <w:sz w:val="20"/>
          <w:szCs w:val="20"/>
          <w:vertAlign w:val="superscript"/>
        </w:rPr>
        <w:t>er</w:t>
      </w:r>
      <w:r w:rsidRPr="00861E72">
        <w:rPr>
          <w:rFonts w:ascii="Segoe UI" w:eastAsia="SimSun" w:hAnsi="Segoe UI" w:cs="Segoe UI"/>
          <w:sz w:val="20"/>
          <w:szCs w:val="20"/>
        </w:rPr>
        <w:t xml:space="preserve"> mars et le 31 décembre 2020, dans une limite de 400 Mds RMB, dans le but d'inciter les banques à prêter jusqu'à 1</w:t>
      </w:r>
      <w:r>
        <w:rPr>
          <w:rFonts w:ascii="Segoe UI" w:eastAsia="SimSun" w:hAnsi="Segoe UI" w:cs="Segoe UI"/>
          <w:sz w:val="20"/>
          <w:szCs w:val="20"/>
        </w:rPr>
        <w:t> </w:t>
      </w:r>
      <w:r w:rsidRPr="00861E72">
        <w:rPr>
          <w:rFonts w:ascii="Segoe UI" w:eastAsia="SimSun" w:hAnsi="Segoe UI" w:cs="Segoe UI"/>
          <w:sz w:val="20"/>
          <w:szCs w:val="20"/>
        </w:rPr>
        <w:t>000 Mds RMB à ce type d’entreprise ; injection par la PBoC de 40 Mds RMB de financements, par l’intermédiaire d’un fonds dédié (SPV), aux petites et moyennes banques locales afin de leur permettre de différer les remboursements de prêts des petites et micro entreprises jusqu’à fin mars 2021.</w:t>
      </w:r>
    </w:p>
    <w:p w:rsidR="00227D1C" w:rsidRPr="00861E72" w:rsidRDefault="00227D1C" w:rsidP="00227D1C">
      <w:pPr>
        <w:spacing w:after="120" w:line="240" w:lineRule="auto"/>
        <w:ind w:left="284"/>
        <w:jc w:val="both"/>
        <w:rPr>
          <w:rFonts w:ascii="Segoe UI" w:eastAsia="SimSun" w:hAnsi="Segoe UI" w:cs="Segoe UI"/>
          <w:b/>
          <w:sz w:val="20"/>
          <w:szCs w:val="20"/>
        </w:rPr>
      </w:pPr>
    </w:p>
    <w:p w:rsidR="00227D1C" w:rsidRPr="0088772B" w:rsidRDefault="00227D1C" w:rsidP="00227D1C">
      <w:pPr>
        <w:spacing w:before="120" w:after="120" w:line="240" w:lineRule="auto"/>
        <w:jc w:val="both"/>
        <w:rPr>
          <w:rFonts w:ascii="Segoe UI" w:eastAsia="SimSun" w:hAnsi="Segoe UI" w:cs="Segoe UI"/>
          <w:color w:val="000000" w:themeColor="text1"/>
          <w:sz w:val="20"/>
          <w:szCs w:val="20"/>
          <w:lang w:eastAsia="ja-JP"/>
        </w:rPr>
      </w:pPr>
      <w:r w:rsidRPr="0088772B">
        <w:rPr>
          <w:rFonts w:ascii="Calibri" w:eastAsia="SimSun" w:hAnsi="Calibri" w:cs="Times New Roman"/>
          <w:noProof/>
          <w:lang w:eastAsia="fr-FR"/>
        </w:rPr>
        <mc:AlternateContent>
          <mc:Choice Requires="wps">
            <w:drawing>
              <wp:inline distT="0" distB="0" distL="0" distR="0" wp14:anchorId="57CC820A" wp14:editId="5BA5A8C0">
                <wp:extent cx="5760720" cy="297815"/>
                <wp:effectExtent l="0" t="0" r="1905" b="0"/>
                <wp:docPr id="8" name="Zone de text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297815"/>
                        </a:xfrm>
                        <a:prstGeom prst="rect">
                          <a:avLst/>
                        </a:prstGeom>
                        <a:solidFill>
                          <a:srgbClr val="006CE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7D1C" w:rsidRDefault="00227D1C" w:rsidP="00227D1C">
                            <w:pPr>
                              <w:spacing w:after="120" w:line="240" w:lineRule="auto"/>
                              <w:jc w:val="both"/>
                              <w:rPr>
                                <w:rFonts w:ascii="Segoe UI Historic" w:hAnsi="Segoe UI Historic" w:cs="Segoe UI Historic"/>
                                <w:color w:val="FFFFFF" w:themeColor="background1"/>
                                <w:szCs w:val="24"/>
                              </w:rPr>
                            </w:pPr>
                            <w:r>
                              <w:rPr>
                                <w:rFonts w:ascii="Segoe UI Historic" w:hAnsi="Segoe UI Historic" w:cs="Segoe UI Historic"/>
                                <w:color w:val="FFFFFF" w:themeColor="background1"/>
                                <w:szCs w:val="24"/>
                              </w:rPr>
                              <w:t>Un accent mis sur la nécessité d’assurer un niveau de liquidité suffisant</w:t>
                            </w:r>
                          </w:p>
                        </w:txbxContent>
                      </wps:txbx>
                      <wps:bodyPr rot="0" vert="horz" wrap="square" lIns="91440" tIns="45720" rIns="91440" bIns="45720" anchor="t" anchorCtr="0" upright="1">
                        <a:noAutofit/>
                      </wps:bodyPr>
                    </wps:wsp>
                  </a:graphicData>
                </a:graphic>
              </wp:inline>
            </w:drawing>
          </mc:Choice>
          <mc:Fallback>
            <w:pict>
              <v:shape w14:anchorId="57CC820A" id="Zone de texte 17" o:spid="_x0000_s1031" type="#_x0000_t202" style="width:453.6pt;height:23.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" fillcolor="#006ce5" stroked="f">
                <v:textbox>
                  <w:txbxContent>
                    <w:p w:rsidR="00227D1C" w:rsidRDefault="00227D1C" w:rsidP="00227D1C">
                      <w:pPr>
                        <w:spacing w:after="120" w:line="240" w:lineRule="auto"/>
                        <w:jc w:val="both"/>
                        <w:rPr>
                          <w:rFonts w:ascii="Segoe UI Historic" w:hAnsi="Segoe UI Historic" w:cs="Segoe UI Historic"/>
                          <w:color w:val="FFFFFF" w:themeColor="background1"/>
                          <w:szCs w:val="24"/>
                        </w:rPr>
                      </w:pPr>
                      <w:r>
                        <w:rPr>
                          <w:rFonts w:ascii="Segoe UI Historic" w:hAnsi="Segoe UI Historic" w:cs="Segoe UI Historic"/>
                          <w:color w:val="FFFFFF" w:themeColor="background1"/>
                          <w:szCs w:val="24"/>
                        </w:rPr>
                        <w:t>Un accent mis sur la nécessité d’assurer un niveau de liquidité suffisant</w:t>
                      </w:r>
                    </w:p>
                  </w:txbxContent>
                </v:textbox>
                <w10:anchorlock/>
              </v:shape>
            </w:pict>
          </mc:Fallback>
        </mc:AlternateContent>
      </w:r>
    </w:p>
    <w:p w:rsidR="00227D1C" w:rsidRPr="0088772B" w:rsidRDefault="00227D1C" w:rsidP="00227D1C">
      <w:pPr>
        <w:spacing w:before="120" w:after="120" w:line="240" w:lineRule="auto"/>
        <w:jc w:val="both"/>
        <w:rPr>
          <w:rFonts w:ascii="Segoe UI" w:eastAsia="SimSun" w:hAnsi="Segoe UI" w:cs="Segoe UI"/>
          <w:sz w:val="20"/>
          <w:szCs w:val="20"/>
        </w:rPr>
      </w:pPr>
      <w:r w:rsidRPr="0088772B">
        <w:rPr>
          <w:rFonts w:ascii="Segoe UI" w:eastAsia="SimSun" w:hAnsi="Segoe UI" w:cs="Segoe UI"/>
          <w:color w:val="006CE5"/>
          <w:sz w:val="20"/>
          <w:szCs w:val="20"/>
          <w:u w:val="single"/>
        </w:rPr>
        <w:t>Les mesures annoncées à tous les niveaux recommandent aux institutions financières d’améliorer leurs services de prêt et de crédit en baissant les taux d’intérêts, en allongeant les délais et en rendant plus flexibles leurs conditions de contrat, en particulier pour les entreprises les plus touchées par l’épidémie et les PME.</w:t>
      </w:r>
      <w:r w:rsidRPr="0088772B">
        <w:rPr>
          <w:rFonts w:ascii="Segoe UI" w:eastAsia="SimSun" w:hAnsi="Segoe UI" w:cs="Segoe UI"/>
          <w:color w:val="000000" w:themeColor="text1"/>
          <w:sz w:val="20"/>
          <w:szCs w:val="20"/>
          <w:lang w:eastAsia="ja-JP"/>
        </w:rPr>
        <w:t xml:space="preserve"> Mi-mars, le directeur du département de la politique monétaire a réaffirmé que davantage de mesures seront mises en œuvre pour baisser les coûts de financement des secteurs non financiers, même si cela implique de « sacrifier une part des profits des banques », qui devront également faire face à une hausse drastique des NPLs. Dans ce contexte, la PBOC devrait « maintenir un niveau de liquidité suffisamment abondant pour permettre aux banques de réduire leurs coûts de financement ». Elle a d’ores et déjà procédé à d’importantes injections de liquidité.  </w:t>
      </w:r>
      <w:r w:rsidRPr="0088772B">
        <w:rPr>
          <w:rFonts w:ascii="Segoe UI" w:eastAsia="SimSun" w:hAnsi="Segoe UI" w:cs="Segoe UI"/>
          <w:sz w:val="20"/>
          <w:szCs w:val="20"/>
        </w:rPr>
        <w:t xml:space="preserve">Ces apports de liquidité ont permis de </w:t>
      </w:r>
      <w:r w:rsidRPr="0088772B">
        <w:rPr>
          <w:rFonts w:ascii="Segoe UI" w:eastAsia="SimSun" w:hAnsi="Segoe UI" w:cs="Segoe UI"/>
          <w:sz w:val="20"/>
          <w:szCs w:val="20"/>
        </w:rPr>
        <w:lastRenderedPageBreak/>
        <w:t xml:space="preserve">lisser les tensions sur les marchés financiers et, entre autres, de faciliter la poursuite des émissions de titres obligataires, notamment par les autorités publiques. </w:t>
      </w:r>
    </w:p>
    <w:p w:rsidR="00227D1C" w:rsidRPr="0088772B" w:rsidRDefault="00227D1C" w:rsidP="00227D1C">
      <w:pPr>
        <w:numPr>
          <w:ilvl w:val="0"/>
          <w:numId w:val="27"/>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sz w:val="20"/>
          <w:szCs w:val="20"/>
        </w:rPr>
        <w:t>Une panoplie d’instruments monétaires devrait être utilisée pour assurer un niveau adéquat et abondant de liquidité (</w:t>
      </w:r>
      <w:r w:rsidRPr="0088772B">
        <w:rPr>
          <w:rFonts w:ascii="Segoe UI" w:eastAsia="SimSun" w:hAnsi="Segoe UI" w:cs="Segoe UI"/>
          <w:i/>
          <w:iCs/>
          <w:sz w:val="20"/>
          <w:szCs w:val="20"/>
        </w:rPr>
        <w:t>keep liquidity ample and appropriate</w:t>
      </w:r>
      <w:r w:rsidRPr="0088772B">
        <w:rPr>
          <w:rFonts w:ascii="Segoe UI" w:eastAsia="SimSun" w:hAnsi="Segoe UI" w:cs="Segoe UI"/>
          <w:sz w:val="20"/>
          <w:szCs w:val="20"/>
        </w:rPr>
        <w:t xml:space="preserve">) et assurer une croissance raisonnable de la création monétaire et du crédit : opérations d’open-market, standing lending facility, central bank lending et central bank discount. </w:t>
      </w:r>
    </w:p>
    <w:p w:rsidR="00227D1C" w:rsidRPr="0088772B" w:rsidRDefault="00227D1C" w:rsidP="00227D1C">
      <w:pPr>
        <w:numPr>
          <w:ilvl w:val="0"/>
          <w:numId w:val="27"/>
        </w:numPr>
        <w:spacing w:after="120" w:line="240" w:lineRule="auto"/>
        <w:ind w:left="284" w:hanging="284"/>
        <w:jc w:val="both"/>
        <w:rPr>
          <w:rFonts w:ascii="Segoe UI" w:eastAsia="SimSun" w:hAnsi="Segoe UI" w:cs="Segoe UI"/>
          <w:b/>
          <w:bCs/>
          <w:sz w:val="20"/>
          <w:szCs w:val="20"/>
        </w:rPr>
      </w:pPr>
      <w:r w:rsidRPr="0088772B">
        <w:rPr>
          <w:rFonts w:ascii="Segoe UI" w:eastAsia="SimSun" w:hAnsi="Segoe UI" w:cs="Segoe UI"/>
          <w:b/>
          <w:bCs/>
          <w:sz w:val="20"/>
          <w:szCs w:val="20"/>
        </w:rPr>
        <w:t>La PBoC a affirmé qu’elle augmenterait le seuil de tolérance relatif au niveau des créances douteuses</w:t>
      </w:r>
    </w:p>
    <w:p w:rsidR="00227D1C" w:rsidRPr="0088772B" w:rsidRDefault="00227D1C" w:rsidP="00227D1C">
      <w:pPr>
        <w:numPr>
          <w:ilvl w:val="0"/>
          <w:numId w:val="27"/>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sz w:val="20"/>
          <w:szCs w:val="20"/>
        </w:rPr>
        <w:t xml:space="preserve">Le 3 févier, la PBoC a injecté au total 1200 Mds CNY (171 Mds USD) de liquidité par le biais de </w:t>
      </w:r>
      <w:r w:rsidRPr="0088772B">
        <w:rPr>
          <w:rFonts w:ascii="Segoe UI" w:eastAsia="SimSun" w:hAnsi="Segoe UI" w:cs="Segoe UI"/>
          <w:i/>
          <w:sz w:val="20"/>
          <w:szCs w:val="20"/>
        </w:rPr>
        <w:t>7-days reverse repo operation</w:t>
      </w:r>
      <w:r w:rsidRPr="0088772B">
        <w:rPr>
          <w:rFonts w:ascii="Segoe UI" w:eastAsia="SimSun" w:hAnsi="Segoe UI" w:cs="Segoe UI"/>
          <w:sz w:val="20"/>
          <w:szCs w:val="20"/>
        </w:rPr>
        <w:t xml:space="preserve"> (900 Mds CNY, à 2,40%) et de </w:t>
      </w:r>
      <w:r w:rsidRPr="0088772B">
        <w:rPr>
          <w:rFonts w:ascii="Segoe UI" w:eastAsia="SimSun" w:hAnsi="Segoe UI" w:cs="Segoe UI"/>
          <w:i/>
          <w:sz w:val="20"/>
          <w:szCs w:val="20"/>
        </w:rPr>
        <w:t>14-days reverse repo operation</w:t>
      </w:r>
      <w:r w:rsidRPr="0088772B">
        <w:rPr>
          <w:rFonts w:ascii="Segoe UI" w:eastAsia="SimSun" w:hAnsi="Segoe UI" w:cs="Segoe UI"/>
          <w:sz w:val="20"/>
          <w:szCs w:val="20"/>
        </w:rPr>
        <w:t xml:space="preserve"> (300 Mds CNY, à 2,55%), en abaissant de 10 pdb les deux taux respectifs. 1050 Mds CNY arrivaient à l’échéance le même jour, l’injection de liquidité nette était ainsi de 150 Mds CNY </w:t>
      </w:r>
    </w:p>
    <w:p w:rsidR="00227D1C" w:rsidRPr="0088772B" w:rsidRDefault="00227D1C" w:rsidP="00227D1C">
      <w:pPr>
        <w:numPr>
          <w:ilvl w:val="0"/>
          <w:numId w:val="27"/>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sz w:val="20"/>
          <w:szCs w:val="20"/>
        </w:rPr>
        <w:t xml:space="preserve">Le 4 février, la PBoC a injecté 500 Mds CNY de liquidité via des </w:t>
      </w:r>
      <w:r w:rsidRPr="0088772B">
        <w:rPr>
          <w:rFonts w:ascii="Segoe UI" w:eastAsia="SimSun" w:hAnsi="Segoe UI" w:cs="Segoe UI"/>
          <w:i/>
          <w:sz w:val="20"/>
          <w:szCs w:val="20"/>
        </w:rPr>
        <w:t>7-days reverse repo operations</w:t>
      </w:r>
      <w:r w:rsidRPr="0088772B">
        <w:rPr>
          <w:rFonts w:ascii="Segoe UI" w:eastAsia="SimSun" w:hAnsi="Segoe UI" w:cs="Segoe UI"/>
          <w:sz w:val="20"/>
          <w:szCs w:val="20"/>
        </w:rPr>
        <w:t xml:space="preserve"> (380 Mds CNY, à 2,40%) et </w:t>
      </w:r>
      <w:r w:rsidRPr="0088772B">
        <w:rPr>
          <w:rFonts w:ascii="Segoe UI" w:eastAsia="SimSun" w:hAnsi="Segoe UI" w:cs="Segoe UI"/>
          <w:i/>
          <w:sz w:val="20"/>
          <w:szCs w:val="20"/>
        </w:rPr>
        <w:t>14-days reverse repo operations</w:t>
      </w:r>
      <w:r w:rsidRPr="0088772B">
        <w:rPr>
          <w:rFonts w:ascii="Segoe UI" w:eastAsia="SimSun" w:hAnsi="Segoe UI" w:cs="Segoe UI"/>
          <w:sz w:val="20"/>
          <w:szCs w:val="20"/>
        </w:rPr>
        <w:t xml:space="preserve"> (120 Mds CNY, à 2,55%).</w:t>
      </w:r>
    </w:p>
    <w:p w:rsidR="00227D1C" w:rsidRPr="0088772B" w:rsidRDefault="00227D1C" w:rsidP="00227D1C">
      <w:pPr>
        <w:numPr>
          <w:ilvl w:val="0"/>
          <w:numId w:val="27"/>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sz w:val="20"/>
          <w:szCs w:val="20"/>
        </w:rPr>
        <w:t xml:space="preserve">La PBoC a annoncé le 17 février qu’elle prêtera 200 Mds CNY via la facilité de prêt à moyen terme (MLF) en réduisant le taux d’intérêt de 10 pdb à 3,15% et 100 Mds CNY via une 7-days reverse repo operation.  </w:t>
      </w:r>
    </w:p>
    <w:p w:rsidR="00227D1C" w:rsidRPr="0088772B" w:rsidRDefault="00227D1C" w:rsidP="00227D1C">
      <w:pPr>
        <w:numPr>
          <w:ilvl w:val="0"/>
          <w:numId w:val="27"/>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sz w:val="20"/>
          <w:szCs w:val="20"/>
        </w:rPr>
        <w:t>Le 30 mars, la PBoC a diminué son taux de refinancement à 7 jours à 2,2%, soit une baisse de 20 points de base, procédant à une injection de liquidités de 50 Mds RMB (7,1 Mds UDS).</w:t>
      </w:r>
    </w:p>
    <w:p w:rsidR="00227D1C" w:rsidRPr="0088772B" w:rsidRDefault="00227D1C" w:rsidP="00227D1C">
      <w:pPr>
        <w:numPr>
          <w:ilvl w:val="0"/>
          <w:numId w:val="27"/>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sz w:val="20"/>
          <w:szCs w:val="20"/>
        </w:rPr>
        <w:t xml:space="preserve">La PBoC a annoncé le 15 avril qu’elle prêterait 100 Mds RMB via la facilité de prêt à moyen terme (MLF) en réduisant le taux d’intérêt de 20 pdb à 2,95 %, suite à la baisse de 20 pdb du taux des opérations de </w:t>
      </w:r>
      <w:r w:rsidRPr="0088772B">
        <w:rPr>
          <w:rFonts w:ascii="Segoe UI" w:eastAsia="SimSun" w:hAnsi="Segoe UI" w:cs="Segoe UI"/>
          <w:i/>
          <w:sz w:val="20"/>
          <w:szCs w:val="20"/>
        </w:rPr>
        <w:t>reverse repurchase agreement</w:t>
      </w:r>
      <w:r w:rsidRPr="0088772B">
        <w:rPr>
          <w:rFonts w:ascii="Segoe UI" w:eastAsia="SimSun" w:hAnsi="Segoe UI" w:cs="Segoe UI"/>
          <w:sz w:val="20"/>
          <w:szCs w:val="20"/>
        </w:rPr>
        <w:t xml:space="preserve"> le 31 mars. Le taux des MLF constitue la référence pour le taux préférentiel des banques (</w:t>
      </w:r>
      <w:r w:rsidRPr="0088772B">
        <w:rPr>
          <w:rFonts w:ascii="Segoe UI" w:eastAsia="SimSun" w:hAnsi="Segoe UI" w:cs="Segoe UI"/>
          <w:i/>
          <w:sz w:val="20"/>
          <w:szCs w:val="20"/>
        </w:rPr>
        <w:t>Lending Prime Rate</w:t>
      </w:r>
      <w:r w:rsidRPr="0088772B">
        <w:rPr>
          <w:rFonts w:ascii="Segoe UI" w:eastAsia="SimSun" w:hAnsi="Segoe UI" w:cs="Segoe UI"/>
          <w:sz w:val="20"/>
          <w:szCs w:val="20"/>
        </w:rPr>
        <w:t xml:space="preserve">). Par ailleurs, la réduction ciblée du ratio des réserves obligatoires (RRR) de 0,5 % pour les coopératives de crédit rurales, les banques commerciales rurales et les banques commerciales urbaines opérant uniquement dans la province locale d’origine est également mise en œuvre à partir du 15 avril, libérant environ 200 Mds RMB de liquidité à long terme. </w:t>
      </w:r>
    </w:p>
    <w:p w:rsidR="00227D1C" w:rsidRPr="0088772B" w:rsidRDefault="00227D1C" w:rsidP="00227D1C">
      <w:pPr>
        <w:numPr>
          <w:ilvl w:val="0"/>
          <w:numId w:val="27"/>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sz w:val="20"/>
          <w:szCs w:val="20"/>
        </w:rPr>
        <w:t>Le Politburo du PCC  envisage une hausse du déficit budgétaire, l’émission d’obligations spéciales du gouvernement central (« Central Government Bonds »), une hausse du quota d’émissions obligataires que les collectivités locales peuvent émettre (« special purpose bonds »), une baisse du taux prêteur de référence de la PBoC (Loan Prime Rate) et une stimulation de la consommation.</w:t>
      </w:r>
    </w:p>
    <w:p w:rsidR="00227D1C" w:rsidRPr="0088772B" w:rsidRDefault="00227D1C" w:rsidP="00227D1C">
      <w:pPr>
        <w:numPr>
          <w:ilvl w:val="0"/>
          <w:numId w:val="27"/>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color w:val="000000" w:themeColor="text1"/>
          <w:sz w:val="20"/>
          <w:szCs w:val="20"/>
          <w:lang w:eastAsia="ja-JP"/>
        </w:rPr>
        <w:t xml:space="preserve">Les agences d'assurance et de réassurance </w:t>
      </w:r>
      <w:r w:rsidRPr="0088772B">
        <w:rPr>
          <w:rFonts w:ascii="Segoe UI" w:eastAsia="SimSun" w:hAnsi="Segoe UI" w:cs="Segoe UI"/>
          <w:sz w:val="20"/>
          <w:szCs w:val="20"/>
        </w:rPr>
        <w:t>des gouvernements locaux à tous les niveaux réduiront de moitié leurs frais pour les PME en 2020, et s'efforceront de réduire le taux de garantie globale de financement pour les PME à moins de 1 %. Le Fonds de garantie de financement de l'État sera quant à lui encouragé à accélérer les prises de participation et à investir dans 10 institutions de garantie de financement des gouvernements municipaux.</w:t>
      </w:r>
    </w:p>
    <w:p w:rsidR="00227D1C" w:rsidRPr="0088772B" w:rsidRDefault="00227D1C" w:rsidP="00227D1C">
      <w:pPr>
        <w:numPr>
          <w:ilvl w:val="0"/>
          <w:numId w:val="27"/>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b/>
          <w:bCs/>
          <w:sz w:val="20"/>
          <w:szCs w:val="20"/>
        </w:rPr>
        <w:t>Baisse ciblée des réserves obligatoires (RO),</w:t>
      </w:r>
      <w:r w:rsidRPr="0088772B">
        <w:rPr>
          <w:rFonts w:ascii="Segoe UI" w:eastAsia="SimSun" w:hAnsi="Segoe UI" w:cs="Segoe UI"/>
          <w:sz w:val="20"/>
          <w:szCs w:val="20"/>
        </w:rPr>
        <w:t xml:space="preserve"> lesquelles demeurent élevées en Chine et dont le pilotage permet de réduire le coût de l’intermédiation financière. En particulier, une baisse ciblée de 50 à 100 pb des RO pour les banques ayant rempli les objectifs assignés par la PBoC en matière de finance inclusive. En outre, a été également décidée une baisse de 100 points de base des RO pesant sur les Joint-Stock Banks, de manière également à réduire leur coût de refinancement, dans la mesure où elles allouent 18% des crédits aux PME, alors que leur assujettissement aux RO est comparativement plus élevé que celui des autres banques.     </w:t>
      </w:r>
    </w:p>
    <w:p w:rsidR="00227D1C" w:rsidRPr="0088772B" w:rsidRDefault="00227D1C" w:rsidP="00227D1C">
      <w:pPr>
        <w:numPr>
          <w:ilvl w:val="0"/>
          <w:numId w:val="27"/>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sz w:val="20"/>
          <w:szCs w:val="20"/>
        </w:rPr>
        <w:t> </w:t>
      </w:r>
      <w:r w:rsidRPr="0088772B">
        <w:rPr>
          <w:rFonts w:ascii="Segoe UI" w:eastAsia="SimSun" w:hAnsi="Segoe UI" w:cs="Segoe UI"/>
          <w:b/>
          <w:sz w:val="20"/>
          <w:szCs w:val="20"/>
        </w:rPr>
        <w:t>la PBoC a indiqué qu’elle mènerait une politique monétaire "plus flexible" pour contrer l'impact « sans précédent » du Covid-19 sur l'économie et en mettant davantage l'accent sur la croissance et l'emploi.</w:t>
      </w:r>
      <w:r w:rsidRPr="0088772B">
        <w:rPr>
          <w:rFonts w:ascii="Segoe UI" w:eastAsia="SimSun" w:hAnsi="Segoe UI" w:cs="Segoe UI"/>
          <w:sz w:val="20"/>
          <w:szCs w:val="20"/>
        </w:rPr>
        <w:t xml:space="preserve"> Dans le même rapport, relatif à la mise en œuvre de la politique monétaire au T1-2020 et publié le 10 mai, la PBoC a affirmé qu’elle « maintiendra une liquidité abondante et </w:t>
      </w:r>
      <w:r w:rsidRPr="0088772B">
        <w:rPr>
          <w:rFonts w:ascii="Segoe UI" w:eastAsia="SimSun" w:hAnsi="Segoe UI" w:cs="Segoe UI"/>
          <w:sz w:val="20"/>
          <w:szCs w:val="20"/>
        </w:rPr>
        <w:lastRenderedPageBreak/>
        <w:t>soutiendra l'économie réelle, en particulier les petites et moyennes entreprises, pour surmonter les difficultés ».</w:t>
      </w:r>
    </w:p>
    <w:p w:rsidR="00227D1C" w:rsidRPr="0088772B" w:rsidRDefault="00227D1C" w:rsidP="00227D1C">
      <w:pPr>
        <w:spacing w:after="120" w:line="240" w:lineRule="auto"/>
        <w:ind w:left="284"/>
        <w:jc w:val="both"/>
        <w:rPr>
          <w:rFonts w:ascii="Segoe UI" w:eastAsia="SimSun" w:hAnsi="Segoe UI" w:cs="Segoe UI"/>
          <w:sz w:val="20"/>
          <w:szCs w:val="20"/>
        </w:rPr>
      </w:pPr>
    </w:p>
    <w:p w:rsidR="00227D1C" w:rsidRPr="0088772B" w:rsidRDefault="00227D1C" w:rsidP="00227D1C">
      <w:pPr>
        <w:spacing w:after="120" w:line="240" w:lineRule="auto"/>
        <w:ind w:left="284" w:hanging="284"/>
        <w:jc w:val="both"/>
        <w:rPr>
          <w:rFonts w:ascii="Segoe UI" w:eastAsia="SimSun" w:hAnsi="Segoe UI" w:cs="Segoe UI"/>
          <w:sz w:val="20"/>
          <w:szCs w:val="20"/>
        </w:rPr>
      </w:pPr>
      <w:r w:rsidRPr="0088772B">
        <w:rPr>
          <w:rFonts w:ascii="Calibri" w:eastAsia="SimSun" w:hAnsi="Calibri" w:cs="Times New Roman"/>
          <w:noProof/>
          <w:lang w:eastAsia="fr-FR"/>
        </w:rPr>
        <mc:AlternateContent>
          <mc:Choice Requires="wps">
            <w:drawing>
              <wp:inline distT="0" distB="0" distL="0" distR="0" wp14:anchorId="7D47B5E6" wp14:editId="431A24D4">
                <wp:extent cx="5760720" cy="297180"/>
                <wp:effectExtent l="0" t="0" r="1905" b="0"/>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297180"/>
                        </a:xfrm>
                        <a:prstGeom prst="rect">
                          <a:avLst/>
                        </a:prstGeom>
                        <a:solidFill>
                          <a:srgbClr val="006CE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7D1C" w:rsidRDefault="00227D1C" w:rsidP="00227D1C">
                            <w:pPr>
                              <w:spacing w:after="120" w:line="240" w:lineRule="auto"/>
                              <w:jc w:val="both"/>
                              <w:rPr>
                                <w:rFonts w:ascii="Segoe UI Historic" w:hAnsi="Segoe UI Historic" w:cs="Segoe UI Historic"/>
                                <w:color w:val="FFFFFF" w:themeColor="background1"/>
                                <w:szCs w:val="24"/>
                              </w:rPr>
                            </w:pPr>
                            <w:r>
                              <w:rPr>
                                <w:rFonts w:ascii="Segoe UI Historic" w:hAnsi="Segoe UI Historic" w:cs="Segoe UI Historic"/>
                                <w:color w:val="FFFFFF" w:themeColor="background1"/>
                                <w:szCs w:val="24"/>
                              </w:rPr>
                              <w:t>Une priorité accordée à l’emploi</w:t>
                            </w:r>
                          </w:p>
                        </w:txbxContent>
                      </wps:txbx>
                      <wps:bodyPr rot="0" vert="horz" wrap="square" lIns="91440" tIns="45720" rIns="91440" bIns="45720" anchor="t" anchorCtr="0" upright="1">
                        <a:noAutofit/>
                      </wps:bodyPr>
                    </wps:wsp>
                  </a:graphicData>
                </a:graphic>
              </wp:inline>
            </w:drawing>
          </mc:Choice>
          <mc:Fallback>
            <w:pict>
              <v:shape w14:anchorId="7D47B5E6" id="Zone de texte 11" o:spid="_x0000_s1032" type="#_x0000_t202" style="width:453.6pt;height:2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" fillcolor="#006ce5" stroked="f">
                <v:textbox>
                  <w:txbxContent>
                    <w:p w:rsidR="00227D1C" w:rsidRDefault="00227D1C" w:rsidP="00227D1C">
                      <w:pPr>
                        <w:spacing w:after="120" w:line="240" w:lineRule="auto"/>
                        <w:jc w:val="both"/>
                        <w:rPr>
                          <w:rFonts w:ascii="Segoe UI Historic" w:hAnsi="Segoe UI Historic" w:cs="Segoe UI Historic"/>
                          <w:color w:val="FFFFFF" w:themeColor="background1"/>
                          <w:szCs w:val="24"/>
                        </w:rPr>
                      </w:pPr>
                      <w:r>
                        <w:rPr>
                          <w:rFonts w:ascii="Segoe UI Historic" w:hAnsi="Segoe UI Historic" w:cs="Segoe UI Historic"/>
                          <w:color w:val="FFFFFF" w:themeColor="background1"/>
                          <w:szCs w:val="24"/>
                        </w:rPr>
                        <w:t>Une priorité accordée à l’emploi</w:t>
                      </w:r>
                    </w:p>
                  </w:txbxContent>
                </v:textbox>
                <w10:anchorlock/>
              </v:shape>
            </w:pict>
          </mc:Fallback>
        </mc:AlternateContent>
      </w:r>
    </w:p>
    <w:p w:rsidR="00227D1C" w:rsidRPr="0088772B" w:rsidRDefault="00227D1C" w:rsidP="00227D1C">
      <w:pPr>
        <w:spacing w:after="120" w:line="240" w:lineRule="auto"/>
        <w:jc w:val="both"/>
        <w:rPr>
          <w:rFonts w:ascii="Segoe UI" w:eastAsia="SimSun" w:hAnsi="Segoe UI" w:cs="Segoe UI"/>
          <w:sz w:val="20"/>
          <w:szCs w:val="20"/>
        </w:rPr>
      </w:pPr>
      <w:r w:rsidRPr="0088772B">
        <w:rPr>
          <w:rFonts w:ascii="Segoe UI" w:eastAsia="SimSun" w:hAnsi="Segoe UI" w:cs="Segoe UI"/>
          <w:color w:val="006CE5"/>
          <w:sz w:val="20"/>
          <w:szCs w:val="20"/>
          <w:u w:val="single"/>
        </w:rPr>
        <w:t>Particulièrement préoccupé par la montée du chômage, le gouvernement fait de l’emploi, déterminant de la stabilité sociale, sa priorité absolue.</w:t>
      </w:r>
      <w:r w:rsidRPr="0088772B">
        <w:rPr>
          <w:rFonts w:ascii="Segoe UI" w:eastAsia="SimSun" w:hAnsi="Segoe UI" w:cs="Segoe UI"/>
          <w:sz w:val="20"/>
          <w:szCs w:val="20"/>
        </w:rPr>
        <w:t xml:space="preserve"> Le taux de chômage par enquête a nettement augmenté pour atteindre 6,2% en février et les sous-indices emploi du PMI reflètent une détérioration de la situation de l’emploi en Chine. Dès 2018, face aux pressions baissières les autorités avaient signalé que « la politique de priorité à l’emploi constitue l’une des principales politiques macroéconomiques ». Elles avaient déjà mis en place  des déductions fiscales pour les entreprises embauchant des personnes au chômage et mis l’accent sur l’éducation et des nouveaux projets de formation. Depuis le début de la crise liée à l’épidémie </w:t>
      </w:r>
      <w:r w:rsidRPr="0088772B">
        <w:rPr>
          <w:rFonts w:ascii="Segoe UI" w:eastAsia="SimSun" w:hAnsi="Segoe UI" w:cs="Segoe UI"/>
          <w:color w:val="000000" w:themeColor="text1"/>
          <w:sz w:val="20"/>
          <w:szCs w:val="20"/>
          <w:lang w:eastAsia="ja-JP"/>
        </w:rPr>
        <w:t>elles encouragent fortement les entreprises à éviter le licenciement et lancent des plateformes de recrutement. L’accent est particulièrement mis sur les travailleurs migrants et les jeunes diplômés.</w:t>
      </w:r>
    </w:p>
    <w:p w:rsidR="00227D1C" w:rsidRPr="0088772B" w:rsidRDefault="00227D1C" w:rsidP="00227D1C">
      <w:pPr>
        <w:numPr>
          <w:ilvl w:val="0"/>
          <w:numId w:val="29"/>
        </w:numPr>
        <w:spacing w:after="120" w:line="240" w:lineRule="auto"/>
        <w:ind w:left="284" w:hanging="284"/>
        <w:jc w:val="both"/>
        <w:rPr>
          <w:rFonts w:ascii="Segoe UI" w:eastAsia="SimSun" w:hAnsi="Segoe UI" w:cs="Segoe UI"/>
          <w:color w:val="000000" w:themeColor="text1"/>
          <w:sz w:val="20"/>
          <w:szCs w:val="20"/>
          <w:lang w:eastAsia="ja-JP"/>
        </w:rPr>
      </w:pPr>
      <w:r w:rsidRPr="0088772B">
        <w:rPr>
          <w:rFonts w:ascii="Segoe UI" w:eastAsia="SimSun" w:hAnsi="Segoe UI" w:cs="Segoe UI"/>
          <w:color w:val="000000" w:themeColor="text1"/>
          <w:sz w:val="20"/>
          <w:szCs w:val="20"/>
          <w:lang w:eastAsia="ja-JP"/>
        </w:rPr>
        <w:t xml:space="preserve">« Les entreprises clés » sont encouragées à </w:t>
      </w:r>
      <w:r w:rsidRPr="0088772B">
        <w:rPr>
          <w:rFonts w:ascii="Segoe UI" w:eastAsia="SimSun" w:hAnsi="Segoe UI" w:cs="Segoe UI"/>
          <w:b/>
          <w:color w:val="000000" w:themeColor="text1"/>
          <w:sz w:val="20"/>
          <w:szCs w:val="20"/>
          <w:lang w:eastAsia="ja-JP"/>
        </w:rPr>
        <w:t>recruter des « travailleurs migrants pauvres</w:t>
      </w:r>
      <w:r w:rsidRPr="0088772B">
        <w:rPr>
          <w:rFonts w:ascii="Segoe UI" w:eastAsia="SimSun" w:hAnsi="Segoe UI" w:cs="Segoe UI"/>
          <w:color w:val="000000" w:themeColor="text1"/>
          <w:sz w:val="20"/>
          <w:szCs w:val="20"/>
          <w:lang w:eastAsia="ja-JP"/>
        </w:rPr>
        <w:t xml:space="preserve"> » (impoverished migrant workers) et elles pourraient recevoir des subventions forfaitaires en cas d’offres d’emplois. </w:t>
      </w:r>
    </w:p>
    <w:p w:rsidR="00227D1C" w:rsidRPr="0088772B" w:rsidRDefault="00227D1C" w:rsidP="00227D1C">
      <w:pPr>
        <w:numPr>
          <w:ilvl w:val="0"/>
          <w:numId w:val="29"/>
        </w:numPr>
        <w:spacing w:after="120" w:line="240" w:lineRule="auto"/>
        <w:ind w:left="284" w:hanging="284"/>
        <w:jc w:val="both"/>
        <w:rPr>
          <w:rFonts w:ascii="Segoe UI" w:eastAsia="SimSun" w:hAnsi="Segoe UI" w:cs="Segoe UI"/>
          <w:color w:val="000000" w:themeColor="text1"/>
          <w:sz w:val="20"/>
          <w:szCs w:val="20"/>
          <w:lang w:eastAsia="ja-JP"/>
        </w:rPr>
      </w:pPr>
      <w:r w:rsidRPr="0088772B">
        <w:rPr>
          <w:rFonts w:ascii="Segoe UI" w:eastAsia="SimSun" w:hAnsi="Segoe UI" w:cs="Segoe UI"/>
          <w:color w:val="000000" w:themeColor="text1"/>
          <w:sz w:val="20"/>
          <w:szCs w:val="20"/>
          <w:lang w:eastAsia="ja-JP"/>
        </w:rPr>
        <w:t>Les mesures sont souvent déclinées au niveau local par le biais de subventions.</w:t>
      </w:r>
    </w:p>
    <w:p w:rsidR="00227D1C" w:rsidRPr="0088772B" w:rsidRDefault="00227D1C" w:rsidP="00227D1C">
      <w:pPr>
        <w:numPr>
          <w:ilvl w:val="0"/>
          <w:numId w:val="29"/>
        </w:numPr>
        <w:spacing w:after="120" w:line="240" w:lineRule="auto"/>
        <w:ind w:left="284" w:hanging="284"/>
        <w:jc w:val="both"/>
        <w:rPr>
          <w:rFonts w:ascii="Segoe UI" w:eastAsia="SimSun" w:hAnsi="Segoe UI" w:cs="Segoe UI"/>
          <w:color w:val="000000" w:themeColor="text1"/>
          <w:sz w:val="20"/>
          <w:szCs w:val="20"/>
          <w:lang w:eastAsia="ja-JP"/>
        </w:rPr>
      </w:pPr>
      <w:r w:rsidRPr="0088772B">
        <w:rPr>
          <w:rFonts w:ascii="Segoe UI" w:eastAsia="SimSun" w:hAnsi="Segoe UI" w:cs="Segoe UI"/>
          <w:sz w:val="20"/>
          <w:szCs w:val="20"/>
        </w:rPr>
        <w:t>Le 20 mars, le Conseil des affaires de l’Etat a publié des lignes directrices sur le retour à l’emploi conseillant plusieurs mesures telles que : (1) la mise en place d’une procédure accélérée pour les réductions d’impôts et de frais divers afin de sauvegarder des emplois (en soulignant le caractère prioritaire des investissements dans les secteurs susceptibles de créer des emplois). (2) Les travailleurs migrants bénéficient de services de transport pour les acheminer jusqu’à la ville où ils sont employés. Des infrastructures et un service public dédié seront mis en place dans les villes pour les assister dans leur recherche d’emploi. (3) Une augmentation des possibilités de recrutement au sein des entreprises d’Etat, des administrations et de l’armée pour les jeunes diplômés.</w:t>
      </w:r>
    </w:p>
    <w:p w:rsidR="00227D1C" w:rsidRPr="0088772B" w:rsidRDefault="00227D1C" w:rsidP="00227D1C">
      <w:pPr>
        <w:spacing w:after="120" w:line="240" w:lineRule="auto"/>
        <w:ind w:left="720"/>
        <w:jc w:val="both"/>
        <w:rPr>
          <w:rFonts w:ascii="Segoe UI" w:eastAsia="SimSun" w:hAnsi="Segoe UI" w:cs="Segoe UI"/>
          <w:color w:val="000000" w:themeColor="text1"/>
          <w:sz w:val="20"/>
          <w:szCs w:val="20"/>
          <w:lang w:eastAsia="ja-JP"/>
        </w:rPr>
      </w:pPr>
    </w:p>
    <w:p w:rsidR="00227D1C" w:rsidRPr="0088772B" w:rsidRDefault="00227D1C" w:rsidP="00227D1C">
      <w:pPr>
        <w:spacing w:after="120" w:line="240" w:lineRule="auto"/>
        <w:jc w:val="both"/>
        <w:rPr>
          <w:rFonts w:ascii="Segoe UI" w:eastAsia="SimSun" w:hAnsi="Segoe UI" w:cs="Segoe UI"/>
          <w:sz w:val="20"/>
          <w:szCs w:val="20"/>
        </w:rPr>
      </w:pPr>
      <w:r w:rsidRPr="0088772B">
        <w:rPr>
          <w:rFonts w:ascii="Calibri" w:eastAsia="SimSun" w:hAnsi="Calibri" w:cs="Times New Roman"/>
          <w:noProof/>
          <w:lang w:eastAsia="fr-FR"/>
        </w:rPr>
        <mc:AlternateContent>
          <mc:Choice Requires="wps">
            <w:drawing>
              <wp:inline distT="0" distB="0" distL="0" distR="0" wp14:anchorId="5D039E9F" wp14:editId="6EE93025">
                <wp:extent cx="5760720" cy="308610"/>
                <wp:effectExtent l="0" t="0" r="1905" b="0"/>
                <wp:docPr id="15"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308610"/>
                        </a:xfrm>
                        <a:prstGeom prst="rect">
                          <a:avLst/>
                        </a:prstGeom>
                        <a:solidFill>
                          <a:srgbClr val="006CE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7D1C" w:rsidRDefault="00227D1C" w:rsidP="00227D1C">
                            <w:pPr>
                              <w:jc w:val="both"/>
                              <w:rPr>
                                <w:rFonts w:ascii="Segoe UI Historic" w:hAnsi="Segoe UI Historic" w:cs="Segoe UI Historic"/>
                                <w:color w:val="FFFFFF" w:themeColor="background1"/>
                                <w:sz w:val="24"/>
                                <w:szCs w:val="24"/>
                              </w:rPr>
                            </w:pPr>
                            <w:r>
                              <w:rPr>
                                <w:rFonts w:ascii="Segoe UI Historic" w:hAnsi="Segoe UI Historic" w:cs="Segoe UI Historic"/>
                                <w:color w:val="FFFFFF" w:themeColor="background1"/>
                                <w:sz w:val="24"/>
                                <w:szCs w:val="24"/>
                              </w:rPr>
                              <w:t xml:space="preserve">Des velléités de soutenir la demande </w:t>
                            </w:r>
                          </w:p>
                        </w:txbxContent>
                      </wps:txbx>
                      <wps:bodyPr rot="0" vert="horz" wrap="square" lIns="91440" tIns="45720" rIns="91440" bIns="45720" anchor="t" anchorCtr="0" upright="1">
                        <a:noAutofit/>
                      </wps:bodyPr>
                    </wps:wsp>
                  </a:graphicData>
                </a:graphic>
              </wp:inline>
            </w:drawing>
          </mc:Choice>
          <mc:Fallback>
            <w:pict>
              <v:shape w14:anchorId="5D039E9F" id="Zone de texte 18" o:spid="_x0000_s1033" type="#_x0000_t202" style="width:453.6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" fillcolor="#006ce5" stroked="f">
                <v:textbox>
                  <w:txbxContent>
                    <w:p w:rsidR="00227D1C" w:rsidRDefault="00227D1C" w:rsidP="00227D1C">
                      <w:pPr>
                        <w:jc w:val="both"/>
                        <w:rPr>
                          <w:rFonts w:ascii="Segoe UI Historic" w:hAnsi="Segoe UI Historic" w:cs="Segoe UI Historic"/>
                          <w:color w:val="FFFFFF" w:themeColor="background1"/>
                          <w:sz w:val="24"/>
                          <w:szCs w:val="24"/>
                        </w:rPr>
                      </w:pPr>
                      <w:r>
                        <w:rPr>
                          <w:rFonts w:ascii="Segoe UI Historic" w:hAnsi="Segoe UI Historic" w:cs="Segoe UI Historic"/>
                          <w:color w:val="FFFFFF" w:themeColor="background1"/>
                          <w:sz w:val="24"/>
                          <w:szCs w:val="24"/>
                        </w:rPr>
                        <w:t xml:space="preserve">Des velléités de soutenir la demande </w:t>
                      </w:r>
                    </w:p>
                  </w:txbxContent>
                </v:textbox>
                <w10:anchorlock/>
              </v:shape>
            </w:pict>
          </mc:Fallback>
        </mc:AlternateContent>
      </w:r>
    </w:p>
    <w:p w:rsidR="00227D1C" w:rsidRPr="0088772B" w:rsidRDefault="00227D1C" w:rsidP="00227D1C">
      <w:pPr>
        <w:spacing w:after="120" w:line="240" w:lineRule="auto"/>
        <w:jc w:val="both"/>
        <w:rPr>
          <w:rFonts w:ascii="Segoe UI" w:eastAsia="SimSun" w:hAnsi="Segoe UI" w:cs="Segoe UI"/>
          <w:color w:val="000000" w:themeColor="text1"/>
          <w:sz w:val="20"/>
          <w:szCs w:val="20"/>
          <w:lang w:eastAsia="ja-JP"/>
        </w:rPr>
      </w:pPr>
      <w:r w:rsidRPr="0088772B">
        <w:rPr>
          <w:rFonts w:ascii="Segoe UI" w:eastAsia="SimSun" w:hAnsi="Segoe UI" w:cs="Segoe UI"/>
          <w:color w:val="006CE5"/>
          <w:sz w:val="20"/>
          <w:szCs w:val="20"/>
          <w:u w:val="single"/>
        </w:rPr>
        <w:t>A l’instar de ce qui a été observé en 2003, un rebond de la demande est attendu une fois les mesures sanitaires levées.</w:t>
      </w:r>
      <w:r w:rsidRPr="0088772B">
        <w:rPr>
          <w:rFonts w:ascii="Segoe UI" w:eastAsia="SimSun" w:hAnsi="Segoe UI" w:cs="Segoe UI"/>
          <w:color w:val="000000" w:themeColor="text1"/>
          <w:sz w:val="20"/>
          <w:szCs w:val="20"/>
          <w:lang w:eastAsia="ja-JP"/>
        </w:rPr>
        <w:t xml:space="preserve"> Les baisses de salaires et les licenciements pourraient néanmoins peser sur la consommation. La dégradation de la conjoncture internationale et les inquiétudes quant à un redémarrage de l’épidémie en Chine via des « cas importés » dégradent la confiance et les anticipations. Cet effet s’ajoute à l’impact direct de la baisse de la demande externe. En outre, la population pourrait continuer à appliquer des mesures de précaution une fois les mesures sanitaires, limitant davantage la consommation. Des mesures ont déjà été annoncées pour soutenir la demander interne (consommation et investissement en infrastructures). Il n’est pas certain que la réactivation du canal du crédit soit le plus sûr vecteur d’une relance de la consommation et de l’investissement.</w:t>
      </w:r>
    </w:p>
    <w:p w:rsidR="00227D1C" w:rsidRPr="0088772B" w:rsidRDefault="00227D1C" w:rsidP="00227D1C">
      <w:pPr>
        <w:numPr>
          <w:ilvl w:val="0"/>
          <w:numId w:val="30"/>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b/>
          <w:sz w:val="20"/>
          <w:szCs w:val="20"/>
        </w:rPr>
        <w:t>Augmentation du quota de dettes que les collectivités locales</w:t>
      </w:r>
      <w:r w:rsidRPr="0088772B">
        <w:rPr>
          <w:rFonts w:ascii="Segoe UI" w:eastAsia="SimSun" w:hAnsi="Segoe UI" w:cs="Segoe UI"/>
          <w:sz w:val="20"/>
          <w:szCs w:val="20"/>
        </w:rPr>
        <w:t xml:space="preserve"> peuvent émettre : de 558 Mds CNY pour les « d’obligations générales » et de 1 290 Mds CNY pour les </w:t>
      </w:r>
      <w:r w:rsidRPr="0088772B">
        <w:rPr>
          <w:rFonts w:ascii="Segoe UI" w:eastAsia="SimSun" w:hAnsi="Segoe UI" w:cs="Segoe UI"/>
          <w:i/>
          <w:iCs/>
          <w:sz w:val="20"/>
          <w:szCs w:val="20"/>
        </w:rPr>
        <w:t>special purpose bonds le 11 février. Le ministère des Finances a le 20 avril à nouveau augmenté de 1 000 Mds RMB le quota de special purpose bonds que les collectivités peuvent émettre de manière anticipée.</w:t>
      </w:r>
    </w:p>
    <w:p w:rsidR="00227D1C" w:rsidRPr="0088772B" w:rsidRDefault="00227D1C" w:rsidP="00227D1C">
      <w:pPr>
        <w:numPr>
          <w:ilvl w:val="0"/>
          <w:numId w:val="30"/>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sz w:val="20"/>
          <w:szCs w:val="20"/>
        </w:rPr>
        <w:t>Des provinces ont commencé à distribuer des « </w:t>
      </w:r>
      <w:r w:rsidRPr="0088772B">
        <w:rPr>
          <w:rFonts w:ascii="Segoe UI" w:eastAsia="SimSun" w:hAnsi="Segoe UI" w:cs="Segoe UI"/>
          <w:b/>
          <w:sz w:val="20"/>
          <w:szCs w:val="20"/>
        </w:rPr>
        <w:t>bons à la consommation</w:t>
      </w:r>
      <w:r w:rsidRPr="0088772B">
        <w:rPr>
          <w:rFonts w:ascii="Segoe UI" w:eastAsia="SimSun" w:hAnsi="Segoe UI" w:cs="Segoe UI"/>
          <w:sz w:val="20"/>
          <w:szCs w:val="20"/>
        </w:rPr>
        <w:t xml:space="preserve"> » </w:t>
      </w:r>
    </w:p>
    <w:p w:rsidR="00227D1C" w:rsidRPr="0088772B" w:rsidRDefault="00227D1C" w:rsidP="00227D1C">
      <w:pPr>
        <w:numPr>
          <w:ilvl w:val="0"/>
          <w:numId w:val="30"/>
        </w:numPr>
        <w:spacing w:after="120" w:line="240" w:lineRule="auto"/>
        <w:ind w:left="284" w:hanging="284"/>
        <w:jc w:val="both"/>
        <w:rPr>
          <w:rFonts w:ascii="Segoe UI" w:eastAsia="SimSun" w:hAnsi="Segoe UI" w:cs="Segoe UI"/>
          <w:sz w:val="20"/>
          <w:szCs w:val="20"/>
          <w:lang w:val="en-US"/>
        </w:rPr>
      </w:pPr>
      <w:r w:rsidRPr="0088772B">
        <w:rPr>
          <w:rFonts w:ascii="Segoe UI" w:eastAsia="SimSun" w:hAnsi="Segoe UI" w:cs="Segoe UI"/>
          <w:sz w:val="20"/>
          <w:szCs w:val="20"/>
          <w:lang w:val="en-US"/>
        </w:rPr>
        <w:t>19 mesures ont été dévoilées le 13 mar</w:t>
      </w:r>
      <w:r w:rsidR="0089680E">
        <w:rPr>
          <w:rFonts w:ascii="Segoe UI" w:eastAsia="SimSun" w:hAnsi="Segoe UI" w:cs="Segoe UI"/>
          <w:sz w:val="20"/>
          <w:szCs w:val="20"/>
          <w:lang w:val="en-US"/>
        </w:rPr>
        <w:t>s par la NDRC pour soutenir la consommation</w:t>
      </w:r>
      <w:r w:rsidRPr="0088772B">
        <w:rPr>
          <w:rFonts w:ascii="Segoe UI" w:eastAsia="SimSun" w:hAnsi="Segoe UI" w:cs="Segoe UI"/>
          <w:sz w:val="20"/>
          <w:szCs w:val="20"/>
          <w:lang w:val="en-US"/>
        </w:rPr>
        <w:t xml:space="preserve"> (</w:t>
      </w:r>
      <w:r w:rsidRPr="0088772B">
        <w:rPr>
          <w:rFonts w:ascii="Segoe UI" w:eastAsia="SimSun" w:hAnsi="Segoe UI" w:cs="Segoe UI"/>
          <w:i/>
          <w:sz w:val="20"/>
          <w:szCs w:val="20"/>
          <w:lang w:val="en-US"/>
        </w:rPr>
        <w:t>19 measures to help promote higher quality and an expansion of capacity in the consumer sector and foster a robust domestic market, according to a document jointly released by the National Development and Reform Commission and 22 other departments</w:t>
      </w:r>
      <w:r w:rsidRPr="0088772B">
        <w:rPr>
          <w:rFonts w:ascii="Segoe UI" w:eastAsia="SimSun" w:hAnsi="Segoe UI" w:cs="Segoe UI"/>
          <w:sz w:val="20"/>
          <w:szCs w:val="20"/>
          <w:lang w:val="en-US"/>
        </w:rPr>
        <w:t>).</w:t>
      </w:r>
    </w:p>
    <w:p w:rsidR="00227D1C" w:rsidRPr="0088772B" w:rsidRDefault="00227D1C" w:rsidP="00227D1C">
      <w:pPr>
        <w:numPr>
          <w:ilvl w:val="0"/>
          <w:numId w:val="30"/>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sz w:val="20"/>
          <w:szCs w:val="20"/>
        </w:rPr>
        <w:lastRenderedPageBreak/>
        <w:t>Le Conseil des Affaires d’</w:t>
      </w:r>
      <w:r w:rsidR="0089680E" w:rsidRPr="0088772B">
        <w:rPr>
          <w:rFonts w:ascii="Segoe UI" w:eastAsia="SimSun" w:hAnsi="Segoe UI" w:cs="Segoe UI"/>
          <w:sz w:val="20"/>
          <w:szCs w:val="20"/>
        </w:rPr>
        <w:t>État</w:t>
      </w:r>
      <w:r w:rsidRPr="0088772B">
        <w:rPr>
          <w:rFonts w:ascii="Segoe UI" w:eastAsia="SimSun" w:hAnsi="Segoe UI" w:cs="Segoe UI"/>
          <w:sz w:val="20"/>
          <w:szCs w:val="20"/>
        </w:rPr>
        <w:t xml:space="preserve"> a prolongé l’exonération des taxes sur l’achat de voitures pour les consommateurs jusqu’à fin 2020.</w:t>
      </w:r>
    </w:p>
    <w:p w:rsidR="00227D1C" w:rsidRPr="0088772B" w:rsidRDefault="00227D1C" w:rsidP="00227D1C">
      <w:pPr>
        <w:numPr>
          <w:ilvl w:val="0"/>
          <w:numId w:val="30"/>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sz w:val="20"/>
          <w:szCs w:val="20"/>
        </w:rPr>
        <w:t>Le ministère des finances a annoncé le 15 avril une exemption du paiement des intérêts sur les retards de paiement des taxes à l’importation pour les entreprises établies dans des zones économiques spéciales. Cette mesure, qui a pour but d’enlever un obstacle pour les entreprises exportatrices qui souhaitent écouler leur production sur le marché intérieur, sera en vigueur du 15 avril au 31 décembre 2020.</w:t>
      </w:r>
    </w:p>
    <w:p w:rsidR="00227D1C" w:rsidRPr="0088772B" w:rsidRDefault="00227D1C" w:rsidP="00227D1C">
      <w:pPr>
        <w:spacing w:after="120" w:line="240" w:lineRule="auto"/>
        <w:ind w:left="284"/>
        <w:jc w:val="both"/>
        <w:rPr>
          <w:rFonts w:ascii="Segoe UI" w:eastAsia="SimSun" w:hAnsi="Segoe UI" w:cs="Segoe UI"/>
          <w:sz w:val="20"/>
          <w:szCs w:val="20"/>
        </w:rPr>
      </w:pPr>
    </w:p>
    <w:p w:rsidR="00227D1C" w:rsidRPr="0088772B" w:rsidRDefault="00227D1C" w:rsidP="00227D1C">
      <w:pPr>
        <w:spacing w:after="120" w:line="240" w:lineRule="auto"/>
        <w:jc w:val="both"/>
        <w:rPr>
          <w:rFonts w:ascii="Segoe UI" w:eastAsia="SimSun" w:hAnsi="Segoe UI" w:cs="Segoe UI"/>
          <w:color w:val="006CE5"/>
          <w:sz w:val="20"/>
          <w:szCs w:val="20"/>
          <w:u w:val="single"/>
        </w:rPr>
      </w:pPr>
      <w:r w:rsidRPr="0088772B">
        <w:rPr>
          <w:rFonts w:ascii="Calibri" w:eastAsia="SimSun" w:hAnsi="Calibri" w:cs="Times New Roman"/>
          <w:noProof/>
          <w:lang w:eastAsia="fr-FR"/>
        </w:rPr>
        <mc:AlternateContent>
          <mc:Choice Requires="wps">
            <w:drawing>
              <wp:inline distT="0" distB="0" distL="0" distR="0" wp14:anchorId="02E8FB59" wp14:editId="3EFF3B35">
                <wp:extent cx="5760720" cy="485775"/>
                <wp:effectExtent l="0" t="0" r="0" b="9525"/>
                <wp:docPr id="16"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485775"/>
                        </a:xfrm>
                        <a:prstGeom prst="rect">
                          <a:avLst/>
                        </a:prstGeom>
                        <a:solidFill>
                          <a:srgbClr val="006CE5"/>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27D1C" w:rsidRDefault="00227D1C" w:rsidP="00227D1C">
                            <w:pPr>
                              <w:jc w:val="both"/>
                              <w:rPr>
                                <w:rFonts w:ascii="Segoe UI Historic" w:hAnsi="Segoe UI Historic" w:cs="Segoe UI Historic"/>
                                <w:color w:val="FFFFFF" w:themeColor="background1"/>
                                <w:sz w:val="24"/>
                                <w:szCs w:val="24"/>
                              </w:rPr>
                            </w:pPr>
                            <w:r>
                              <w:rPr>
                                <w:rFonts w:ascii="Segoe UI Historic" w:hAnsi="Segoe UI Historic" w:cs="Segoe UI Historic"/>
                                <w:color w:val="FFFFFF" w:themeColor="background1"/>
                                <w:sz w:val="24"/>
                                <w:szCs w:val="24"/>
                              </w:rPr>
                              <w:t>Un plan de relance prudent dévoilé lors des Lianghui (« doubles assemblées ») s’ajoute aux mesures de soutien déjà adoptées.</w:t>
                            </w:r>
                          </w:p>
                        </w:txbxContent>
                      </wps:txbx>
                      <wps:bodyPr rot="0" vert="horz" wrap="square" lIns="91440" tIns="45720" rIns="91440" bIns="45720" anchor="t" anchorCtr="0" upright="1">
                        <a:noAutofit/>
                      </wps:bodyPr>
                    </wps:wsp>
                  </a:graphicData>
                </a:graphic>
              </wp:inline>
            </w:drawing>
          </mc:Choice>
          <mc:Fallback>
            <w:pict>
              <v:shape w14:anchorId="02E8FB59" id="_x0000_s1034" type="#_x0000_t202" style="width:453.6pt;height:3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" fillcolor="#006ce5" stroked="f">
                <v:textbox>
                  <w:txbxContent>
                    <w:p w:rsidR="00227D1C" w:rsidRDefault="00227D1C" w:rsidP="00227D1C">
                      <w:pPr>
                        <w:jc w:val="both"/>
                        <w:rPr>
                          <w:rFonts w:ascii="Segoe UI Historic" w:hAnsi="Segoe UI Historic" w:cs="Segoe UI Historic"/>
                          <w:color w:val="FFFFFF" w:themeColor="background1"/>
                          <w:sz w:val="24"/>
                          <w:szCs w:val="24"/>
                        </w:rPr>
                      </w:pPr>
                      <w:r>
                        <w:rPr>
                          <w:rFonts w:ascii="Segoe UI Historic" w:hAnsi="Segoe UI Historic" w:cs="Segoe UI Historic"/>
                          <w:color w:val="FFFFFF" w:themeColor="background1"/>
                          <w:sz w:val="24"/>
                          <w:szCs w:val="24"/>
                        </w:rPr>
                        <w:t xml:space="preserve">Un plan de relance prudent dévoilé lors des </w:t>
                      </w:r>
                      <w:proofErr w:type="spellStart"/>
                      <w:r>
                        <w:rPr>
                          <w:rFonts w:ascii="Segoe UI Historic" w:hAnsi="Segoe UI Historic" w:cs="Segoe UI Historic"/>
                          <w:color w:val="FFFFFF" w:themeColor="background1"/>
                          <w:sz w:val="24"/>
                          <w:szCs w:val="24"/>
                        </w:rPr>
                        <w:t>Lianghui</w:t>
                      </w:r>
                      <w:proofErr w:type="spellEnd"/>
                      <w:r>
                        <w:rPr>
                          <w:rFonts w:ascii="Segoe UI Historic" w:hAnsi="Segoe UI Historic" w:cs="Segoe UI Historic"/>
                          <w:color w:val="FFFFFF" w:themeColor="background1"/>
                          <w:sz w:val="24"/>
                          <w:szCs w:val="24"/>
                        </w:rPr>
                        <w:t xml:space="preserve"> (« doubles assemblées ») s’ajoute aux mesures de soutien déjà adoptées.</w:t>
                      </w:r>
                    </w:p>
                  </w:txbxContent>
                </v:textbox>
                <w10:anchorlock/>
              </v:shape>
            </w:pict>
          </mc:Fallback>
        </mc:AlternateContent>
      </w:r>
    </w:p>
    <w:p w:rsidR="00227D1C" w:rsidRPr="0088772B" w:rsidRDefault="00227D1C" w:rsidP="00227D1C">
      <w:pPr>
        <w:spacing w:after="120" w:line="240" w:lineRule="auto"/>
        <w:jc w:val="both"/>
      </w:pPr>
      <w:r w:rsidRPr="0088772B">
        <w:rPr>
          <w:rFonts w:ascii="Segoe UI" w:eastAsia="SimSun" w:hAnsi="Segoe UI" w:cs="Segoe UI"/>
          <w:color w:val="006CE5"/>
          <w:sz w:val="20"/>
          <w:szCs w:val="20"/>
          <w:u w:val="single"/>
        </w:rPr>
        <w:t>Pour la première fois ne figure aucun objectif explicite de croissance du PIB pour l’année 2020</w:t>
      </w:r>
      <w:r w:rsidRPr="0088772B">
        <w:t xml:space="preserve">. Cette décision s’explique par les incertitudes induites par les effets de bord liés à la moindre demande attendue en provenance du reste du monde. Le Premier ministre a précisé un objectif de créations d’emplois de 9 M, assorti d’un taux de chômage urbain de quelque 6%. </w:t>
      </w:r>
    </w:p>
    <w:p w:rsidR="00227D1C" w:rsidRPr="0088772B" w:rsidRDefault="00227D1C" w:rsidP="00227D1C">
      <w:pPr>
        <w:pStyle w:val="Paragraphedeliste"/>
        <w:numPr>
          <w:ilvl w:val="0"/>
          <w:numId w:val="33"/>
        </w:numPr>
        <w:spacing w:after="120" w:line="240" w:lineRule="auto"/>
        <w:jc w:val="both"/>
        <w:rPr>
          <w:rFonts w:ascii="Segoe UI" w:eastAsia="SimSun" w:hAnsi="Segoe UI" w:cs="Segoe UI"/>
          <w:color w:val="000000" w:themeColor="text1"/>
          <w:sz w:val="20"/>
          <w:szCs w:val="20"/>
          <w:lang w:eastAsia="ja-JP"/>
        </w:rPr>
      </w:pPr>
      <w:r w:rsidRPr="0088772B">
        <w:rPr>
          <w:rFonts w:ascii="Segoe UI" w:eastAsia="SimSun" w:hAnsi="Segoe UI" w:cs="Segoe UI"/>
          <w:b/>
          <w:sz w:val="20"/>
          <w:szCs w:val="20"/>
        </w:rPr>
        <w:t>Le déficit public officiel devrait</w:t>
      </w:r>
      <w:r w:rsidRPr="0088772B">
        <w:rPr>
          <w:rFonts w:ascii="Segoe UI" w:eastAsia="SimSun" w:hAnsi="Segoe UI" w:cs="Segoe UI"/>
          <w:color w:val="000000" w:themeColor="text1"/>
          <w:sz w:val="20"/>
          <w:szCs w:val="20"/>
          <w:lang w:eastAsia="ja-JP"/>
        </w:rPr>
        <w:t xml:space="preserve"> </w:t>
      </w:r>
      <w:r w:rsidRPr="0088772B">
        <w:rPr>
          <w:rFonts w:ascii="Segoe UI" w:eastAsia="SimSun" w:hAnsi="Segoe UI" w:cs="Segoe UI"/>
          <w:b/>
          <w:color w:val="000000" w:themeColor="text1"/>
          <w:sz w:val="20"/>
          <w:szCs w:val="20"/>
          <w:lang w:eastAsia="ja-JP"/>
        </w:rPr>
        <w:t>passer de 2,8% du PIB à 3,6% du PIB</w:t>
      </w:r>
      <w:r w:rsidRPr="0088772B">
        <w:rPr>
          <w:rFonts w:ascii="Segoe UI" w:eastAsia="SimSun" w:hAnsi="Segoe UI" w:cs="Segoe UI"/>
          <w:color w:val="000000" w:themeColor="text1"/>
          <w:sz w:val="20"/>
          <w:szCs w:val="20"/>
          <w:lang w:eastAsia="ja-JP"/>
        </w:rPr>
        <w:t>, soit une augmentation de 1000 Mds RMB qui seraient alloués en totalité aux collectivités locales.</w:t>
      </w:r>
    </w:p>
    <w:p w:rsidR="00227D1C" w:rsidRPr="0088772B" w:rsidRDefault="00227D1C" w:rsidP="00227D1C">
      <w:pPr>
        <w:numPr>
          <w:ilvl w:val="0"/>
          <w:numId w:val="30"/>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b/>
          <w:sz w:val="20"/>
          <w:szCs w:val="20"/>
        </w:rPr>
        <w:t>Nouvelle augmentation du quota de dettes que les collectivités locales</w:t>
      </w:r>
      <w:r w:rsidRPr="0088772B">
        <w:rPr>
          <w:rFonts w:ascii="Segoe UI" w:eastAsia="SimSun" w:hAnsi="Segoe UI" w:cs="Segoe UI"/>
          <w:sz w:val="20"/>
          <w:szCs w:val="20"/>
        </w:rPr>
        <w:t xml:space="preserve"> peuvent émettre </w:t>
      </w:r>
      <w:r w:rsidRPr="0088772B">
        <w:t xml:space="preserve">au titre des </w:t>
      </w:r>
      <w:r w:rsidRPr="0088772B">
        <w:rPr>
          <w:i/>
          <w:iCs/>
        </w:rPr>
        <w:t>Special purpose local government bonds</w:t>
      </w:r>
      <w:r w:rsidRPr="0088772B">
        <w:t xml:space="preserve"> de 1600 Mds RMB.</w:t>
      </w:r>
    </w:p>
    <w:p w:rsidR="00227D1C" w:rsidRPr="0088772B" w:rsidRDefault="00227D1C" w:rsidP="00227D1C">
      <w:pPr>
        <w:numPr>
          <w:ilvl w:val="0"/>
          <w:numId w:val="30"/>
        </w:numPr>
        <w:spacing w:after="120" w:line="240" w:lineRule="auto"/>
        <w:ind w:left="284" w:hanging="284"/>
        <w:jc w:val="both"/>
        <w:rPr>
          <w:rFonts w:ascii="Segoe UI" w:eastAsia="SimSun" w:hAnsi="Segoe UI" w:cs="Segoe UI"/>
          <w:sz w:val="20"/>
          <w:szCs w:val="20"/>
        </w:rPr>
      </w:pPr>
      <w:r w:rsidRPr="0088772B">
        <w:rPr>
          <w:rFonts w:ascii="Segoe UI" w:eastAsia="SimSun" w:hAnsi="Segoe UI" w:cs="Segoe UI"/>
          <w:sz w:val="20"/>
          <w:szCs w:val="20"/>
        </w:rPr>
        <w:t xml:space="preserve">émission par le ministère des Finances de </w:t>
      </w:r>
      <w:r w:rsidRPr="0088772B">
        <w:rPr>
          <w:rFonts w:ascii="Segoe UI" w:eastAsia="SimSun" w:hAnsi="Segoe UI" w:cs="Segoe UI"/>
          <w:i/>
          <w:iCs/>
          <w:sz w:val="20"/>
          <w:szCs w:val="20"/>
        </w:rPr>
        <w:t>Special Government bonds</w:t>
      </w:r>
      <w:r w:rsidRPr="0088772B">
        <w:rPr>
          <w:rFonts w:ascii="Segoe UI" w:eastAsia="SimSun" w:hAnsi="Segoe UI" w:cs="Segoe UI"/>
          <w:sz w:val="20"/>
          <w:szCs w:val="20"/>
        </w:rPr>
        <w:t>, à hauteur de 1000 Mds RMB, enveloppe qui sera également affectée en totalité aux gouvernements locaux.</w:t>
      </w:r>
    </w:p>
    <w:p w:rsidR="00227D1C" w:rsidRPr="0088772B" w:rsidRDefault="00227D1C" w:rsidP="00227D1C">
      <w:pPr>
        <w:spacing w:after="120" w:line="240" w:lineRule="auto"/>
        <w:contextualSpacing/>
        <w:jc w:val="both"/>
        <w:rPr>
          <w:rFonts w:ascii="Segoe UI" w:eastAsia="SimSun" w:hAnsi="Segoe UI" w:cs="Segoe UI"/>
          <w:color w:val="006CE5"/>
          <w:sz w:val="20"/>
          <w:szCs w:val="20"/>
          <w:u w:val="single"/>
        </w:rPr>
      </w:pPr>
      <w:r w:rsidRPr="0088772B">
        <w:rPr>
          <w:rFonts w:ascii="Segoe UI" w:eastAsia="SimSun" w:hAnsi="Segoe UI" w:cs="Segoe UI"/>
          <w:color w:val="006CE5"/>
          <w:sz w:val="20"/>
          <w:szCs w:val="20"/>
          <w:u w:val="single"/>
        </w:rPr>
        <w:t>Si une partie de ces financements additionnels est destinée à prolonger dans le temps les mesures d’exemption de charge et d’impôts dont bénéficient les PME depuis le mois de février, la majorité sera allouée à l’investissement public et aux « nouvelles infrastructures ».</w:t>
      </w:r>
    </w:p>
    <w:p w:rsidR="00227D1C" w:rsidRPr="0088772B" w:rsidRDefault="00227D1C" w:rsidP="00227D1C">
      <w:pPr>
        <w:pStyle w:val="Paragraphedeliste"/>
        <w:numPr>
          <w:ilvl w:val="0"/>
          <w:numId w:val="32"/>
        </w:numPr>
        <w:spacing w:after="120" w:line="240" w:lineRule="auto"/>
        <w:contextualSpacing w:val="0"/>
        <w:jc w:val="both"/>
      </w:pPr>
      <w:r w:rsidRPr="0088772B">
        <w:t xml:space="preserve">Développement de « </w:t>
      </w:r>
      <w:r w:rsidRPr="0088772B">
        <w:rPr>
          <w:b/>
        </w:rPr>
        <w:t>nouvelles infrastructures</w:t>
      </w:r>
      <w:r w:rsidRPr="0088772B">
        <w:t xml:space="preserve"> », c’est-à-dire d’infrastructures principalement numériques (5G et centres de données) et d’équipements de recharge de véhicules à énergies nouvelles ; </w:t>
      </w:r>
    </w:p>
    <w:p w:rsidR="00227D1C" w:rsidRPr="0088772B" w:rsidRDefault="00227D1C" w:rsidP="00227D1C">
      <w:pPr>
        <w:pStyle w:val="Paragraphedeliste"/>
        <w:numPr>
          <w:ilvl w:val="0"/>
          <w:numId w:val="32"/>
        </w:numPr>
        <w:spacing w:after="120" w:line="240" w:lineRule="auto"/>
        <w:contextualSpacing w:val="0"/>
        <w:jc w:val="both"/>
      </w:pPr>
      <w:r w:rsidRPr="0088772B">
        <w:rPr>
          <w:b/>
        </w:rPr>
        <w:t>Rénovation</w:t>
      </w:r>
      <w:r w:rsidRPr="0088772B">
        <w:t xml:space="preserve"> de 39 000 résidences d’habitation dégradées représentant aux alentours de 7 millions de logements (doublement par rapport à l’objectif de rénovation en 2019) ; </w:t>
      </w:r>
    </w:p>
    <w:p w:rsidR="00227D1C" w:rsidRPr="0088772B" w:rsidRDefault="00227D1C" w:rsidP="00227D1C">
      <w:pPr>
        <w:pStyle w:val="Paragraphedeliste"/>
        <w:numPr>
          <w:ilvl w:val="0"/>
          <w:numId w:val="32"/>
        </w:numPr>
        <w:spacing w:after="120" w:line="240" w:lineRule="auto"/>
        <w:contextualSpacing w:val="0"/>
        <w:jc w:val="both"/>
      </w:pPr>
      <w:r w:rsidRPr="0088772B">
        <w:rPr>
          <w:b/>
        </w:rPr>
        <w:t>Travaux d’infrastructures hydrauliques</w:t>
      </w:r>
      <w:r w:rsidRPr="0088772B">
        <w:t xml:space="preserve"> (en particulier de barrages), </w:t>
      </w:r>
      <w:r w:rsidRPr="0088772B">
        <w:rPr>
          <w:b/>
        </w:rPr>
        <w:t>d’assainissement, de gestion des déchets et de transports</w:t>
      </w:r>
      <w:r w:rsidRPr="0088772B">
        <w:t xml:space="preserve">, notamment construction de nouvelles lignes ferroviaires (100 Mrd CNY soit env. 12,8 Mrd EUR répartis à parts égales en dotation à </w:t>
      </w:r>
      <w:r w:rsidRPr="0088772B">
        <w:rPr>
          <w:i/>
          <w:iCs/>
        </w:rPr>
        <w:t xml:space="preserve">China Railway </w:t>
      </w:r>
      <w:r w:rsidRPr="0088772B">
        <w:t xml:space="preserve">et en émission d’obligations) et de nouveaux aéroports ; </w:t>
      </w:r>
    </w:p>
    <w:p w:rsidR="00227D1C" w:rsidRPr="0088772B" w:rsidRDefault="00227D1C" w:rsidP="00227D1C">
      <w:pPr>
        <w:pStyle w:val="Paragraphedeliste"/>
        <w:numPr>
          <w:ilvl w:val="0"/>
          <w:numId w:val="32"/>
        </w:numPr>
        <w:spacing w:after="120" w:line="240" w:lineRule="auto"/>
        <w:contextualSpacing w:val="0"/>
        <w:jc w:val="both"/>
      </w:pPr>
      <w:r w:rsidRPr="0088772B">
        <w:rPr>
          <w:b/>
        </w:rPr>
        <w:t>Renforcement des zones d’intégration régionale</w:t>
      </w:r>
      <w:r w:rsidRPr="0088772B">
        <w:t xml:space="preserve"> autour de Pékin (Pékin-Tianjin-Hebei ou « Jing-Jin-Ji »), du delta du Yangtsé autour de Shanghai et de la Grande baie (région de Canton, Shenzhen et Hong-Kong) et mise en oeuvre de la stratégie de développement du bassin du Fleuve jaune annoncée par le Président XI Jinping en septembre 2019 ; </w:t>
      </w:r>
    </w:p>
    <w:p w:rsidR="00227D1C" w:rsidRPr="0088772B" w:rsidRDefault="00227D1C" w:rsidP="00227D1C">
      <w:pPr>
        <w:pStyle w:val="Paragraphedeliste"/>
        <w:numPr>
          <w:ilvl w:val="0"/>
          <w:numId w:val="32"/>
        </w:numPr>
        <w:spacing w:after="120" w:line="240" w:lineRule="auto"/>
        <w:contextualSpacing w:val="0"/>
        <w:jc w:val="both"/>
      </w:pPr>
      <w:r w:rsidRPr="0088772B">
        <w:rPr>
          <w:b/>
        </w:rPr>
        <w:t>Travaux de restauration écologique</w:t>
      </w:r>
      <w:r w:rsidRPr="0088772B">
        <w:t xml:space="preserve"> et d’édification de la « civilisation écologique » (anciennes zones minières, bords de mer pollués, zones humides et forêts dégradées, etc.). </w:t>
      </w:r>
    </w:p>
    <w:sectPr w:rsidR="00227D1C" w:rsidRPr="0088772B" w:rsidSect="00C501A5">
      <w:headerReference w:type="default" r:id="rId23"/>
      <w:footerReference w:type="default" r:id="rId24"/>
      <w:headerReference w:type="first" r:id="rId25"/>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8A5" w:rsidRDefault="007568A5" w:rsidP="004432FE">
      <w:pPr>
        <w:spacing w:after="0" w:line="240" w:lineRule="auto"/>
      </w:pPr>
      <w:r>
        <w:separator/>
      </w:r>
    </w:p>
  </w:endnote>
  <w:endnote w:type="continuationSeparator" w:id="0">
    <w:p w:rsidR="007568A5" w:rsidRDefault="007568A5" w:rsidP="00443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3675415"/>
      <w:docPartObj>
        <w:docPartGallery w:val="Page Numbers (Bottom of Page)"/>
        <w:docPartUnique/>
      </w:docPartObj>
    </w:sdtPr>
    <w:sdtEndPr>
      <w:rPr>
        <w:rFonts w:ascii="Segoe UI" w:hAnsi="Segoe UI" w:cs="Segoe UI"/>
        <w:sz w:val="20"/>
        <w:szCs w:val="20"/>
      </w:rPr>
    </w:sdtEndPr>
    <w:sdtContent>
      <w:p w:rsidR="00C115F4" w:rsidRPr="004F6F24" w:rsidRDefault="00C115F4">
        <w:pPr>
          <w:pStyle w:val="Pieddepage"/>
          <w:jc w:val="right"/>
          <w:rPr>
            <w:rFonts w:ascii="Segoe UI" w:hAnsi="Segoe UI" w:cs="Segoe UI"/>
            <w:sz w:val="20"/>
            <w:szCs w:val="20"/>
          </w:rPr>
        </w:pPr>
        <w:r w:rsidRPr="004F6F24">
          <w:rPr>
            <w:rFonts w:ascii="Segoe UI" w:hAnsi="Segoe UI" w:cs="Segoe UI"/>
            <w:sz w:val="20"/>
            <w:szCs w:val="20"/>
          </w:rPr>
          <w:fldChar w:fldCharType="begin"/>
        </w:r>
        <w:r w:rsidRPr="004F6F24">
          <w:rPr>
            <w:rFonts w:ascii="Segoe UI" w:hAnsi="Segoe UI" w:cs="Segoe UI"/>
            <w:sz w:val="20"/>
            <w:szCs w:val="20"/>
          </w:rPr>
          <w:instrText>PAGE   \* MERGEFORMAT</w:instrText>
        </w:r>
        <w:r w:rsidRPr="004F6F24">
          <w:rPr>
            <w:rFonts w:ascii="Segoe UI" w:hAnsi="Segoe UI" w:cs="Segoe UI"/>
            <w:sz w:val="20"/>
            <w:szCs w:val="20"/>
          </w:rPr>
          <w:fldChar w:fldCharType="separate"/>
        </w:r>
        <w:r w:rsidR="00E66968">
          <w:rPr>
            <w:rFonts w:ascii="Segoe UI" w:hAnsi="Segoe UI" w:cs="Segoe UI"/>
            <w:noProof/>
            <w:sz w:val="20"/>
            <w:szCs w:val="20"/>
          </w:rPr>
          <w:t>12</w:t>
        </w:r>
        <w:r w:rsidRPr="004F6F24">
          <w:rPr>
            <w:rFonts w:ascii="Segoe UI" w:hAnsi="Segoe UI" w:cs="Segoe UI"/>
            <w:sz w:val="20"/>
            <w:szCs w:val="20"/>
          </w:rPr>
          <w:fldChar w:fldCharType="end"/>
        </w:r>
      </w:p>
    </w:sdtContent>
  </w:sdt>
  <w:p w:rsidR="00C115F4" w:rsidRDefault="00C115F4">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5F4" w:rsidRDefault="00C115F4" w:rsidP="007E6B29">
    <w:pPr>
      <w:pStyle w:val="Pieddepage"/>
      <w:jc w:val="center"/>
    </w:pPr>
    <w:r>
      <w:rPr>
        <w:rFonts w:ascii="Segoe UI" w:hAnsi="Segoe UI" w:cs="Segoe UI"/>
        <w:noProof/>
        <w:color w:val="006CE5"/>
        <w:sz w:val="24"/>
        <w:szCs w:val="24"/>
        <w:u w:val="single"/>
        <w:lang w:eastAsia="fr-FR"/>
      </w:rPr>
      <w:drawing>
        <wp:anchor distT="0" distB="0" distL="114300" distR="114300" simplePos="0" relativeHeight="251677696" behindDoc="0" locked="0" layoutInCell="1" allowOverlap="1" wp14:anchorId="63082CF8" wp14:editId="4BB200E8">
          <wp:simplePos x="0" y="0"/>
          <wp:positionH relativeFrom="column">
            <wp:posOffset>-658826</wp:posOffset>
          </wp:positionH>
          <wp:positionV relativeFrom="paragraph">
            <wp:posOffset>-23495</wp:posOffset>
          </wp:positionV>
          <wp:extent cx="809625" cy="409575"/>
          <wp:effectExtent l="0" t="0" r="9525" b="9525"/>
          <wp:wrapNone/>
          <wp:docPr id="34" name="Image 3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a14="http://schemas.microsoft.com/office/drawing/2010/main" val="0"/>
                      </a:ext>
                    </a:extLst>
                  </a:blip>
                  <a:srcRect t="24706" b="24706"/>
                  <a:stretch>
                    <a:fillRect/>
                  </a:stretch>
                </pic:blipFill>
                <pic:spPr bwMode="auto">
                  <a:xfrm>
                    <a:off x="0" y="0"/>
                    <a:ext cx="80962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b/>
        <w:noProof/>
        <w:color w:val="006CE5"/>
        <w:sz w:val="44"/>
        <w:szCs w:val="44"/>
        <w:lang w:eastAsia="fr-FR"/>
      </w:rPr>
      <mc:AlternateContent>
        <mc:Choice Requires="wps">
          <w:drawing>
            <wp:anchor distT="0" distB="0" distL="114300" distR="114300" simplePos="0" relativeHeight="251678720" behindDoc="0" locked="0" layoutInCell="1" allowOverlap="1" wp14:anchorId="06D9A3D2" wp14:editId="666E531A">
              <wp:simplePos x="0" y="0"/>
              <wp:positionH relativeFrom="column">
                <wp:posOffset>333375</wp:posOffset>
              </wp:positionH>
              <wp:positionV relativeFrom="paragraph">
                <wp:posOffset>38431</wp:posOffset>
              </wp:positionV>
              <wp:extent cx="0" cy="436245"/>
              <wp:effectExtent l="0" t="0" r="19050" b="20955"/>
              <wp:wrapNone/>
              <wp:docPr id="13" name="Connecteur droit 13"/>
              <wp:cNvGraphicFramePr/>
              <a:graphic xmlns:a="http://schemas.openxmlformats.org/drawingml/2006/main">
                <a:graphicData uri="http://schemas.microsoft.com/office/word/2010/wordprocessingShape">
                  <wps:wsp>
                    <wps:cNvCnPr/>
                    <wps:spPr>
                      <a:xfrm>
                        <a:off x="0" y="0"/>
                        <a:ext cx="0" cy="4362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561E81" id="Connecteur droit 13"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6.25pt,3.05pt" to="26.25pt,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" strokecolor="#5b9bd5 [3204]" strokeweight=".5pt">
              <v:stroke joinstyle="miter"/>
            </v:line>
          </w:pict>
        </mc:Fallback>
      </mc:AlternateContent>
    </w:r>
    <w:r>
      <w:rPr>
        <w:rFonts w:ascii="Segoe UI" w:hAnsi="Segoe UI" w:cs="Segoe UI"/>
        <w:b/>
        <w:noProof/>
        <w:color w:val="006CE5"/>
        <w:sz w:val="44"/>
        <w:szCs w:val="44"/>
        <w:lang w:eastAsia="fr-FR"/>
      </w:rPr>
      <mc:AlternateContent>
        <mc:Choice Requires="wps">
          <w:drawing>
            <wp:anchor distT="0" distB="0" distL="114300" distR="114300" simplePos="0" relativeHeight="251676672" behindDoc="0" locked="0" layoutInCell="1" allowOverlap="1" wp14:anchorId="317705E8" wp14:editId="3E2A599E">
              <wp:simplePos x="0" y="0"/>
              <wp:positionH relativeFrom="page">
                <wp:align>left</wp:align>
              </wp:positionH>
              <wp:positionV relativeFrom="page">
                <wp:align>bottom</wp:align>
              </wp:positionV>
              <wp:extent cx="7779224" cy="122830"/>
              <wp:effectExtent l="0" t="0" r="0" b="0"/>
              <wp:wrapSquare wrapText="bothSides"/>
              <wp:docPr id="14" name="Rectangle 14"/>
              <wp:cNvGraphicFramePr/>
              <a:graphic xmlns:a="http://schemas.openxmlformats.org/drawingml/2006/main">
                <a:graphicData uri="http://schemas.microsoft.com/office/word/2010/wordprocessingShape">
                  <wps:wsp>
                    <wps:cNvSpPr/>
                    <wps:spPr>
                      <a:xfrm>
                        <a:off x="0" y="0"/>
                        <a:ext cx="7779224" cy="122830"/>
                      </a:xfrm>
                      <a:prstGeom prst="rect">
                        <a:avLst/>
                      </a:prstGeom>
                      <a:solidFill>
                        <a:srgbClr val="006C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5FD936" id="Rectangle 14" o:spid="_x0000_s1026" style="position:absolute;margin-left:0;margin-top:0;width:612.55pt;height:9.65pt;z-index:251676672;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" fillcolor="#006ce5" stroked="f" strokeweight="1pt">
              <w10:wrap type="square" anchorx="page" anchory="page"/>
            </v:rect>
          </w:pict>
        </mc:Fallback>
      </mc:AlternateContent>
    </w:r>
    <w:r>
      <w:t>Ambassade de France en Chine – 60 Tianzelu – 100600 Pékin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8A5" w:rsidRDefault="007568A5" w:rsidP="004432FE">
      <w:pPr>
        <w:spacing w:after="0" w:line="240" w:lineRule="auto"/>
      </w:pPr>
      <w:r>
        <w:separator/>
      </w:r>
    </w:p>
  </w:footnote>
  <w:footnote w:type="continuationSeparator" w:id="0">
    <w:p w:rsidR="007568A5" w:rsidRDefault="007568A5" w:rsidP="004432FE">
      <w:pPr>
        <w:spacing w:after="0" w:line="240" w:lineRule="auto"/>
      </w:pPr>
      <w:r>
        <w:continuationSeparator/>
      </w:r>
    </w:p>
  </w:footnote>
  <w:footnote w:id="1">
    <w:p w:rsidR="00227D1C" w:rsidRDefault="00227D1C" w:rsidP="00227D1C">
      <w:pPr>
        <w:pStyle w:val="Notedebasdepage"/>
        <w:jc w:val="both"/>
        <w:rPr>
          <w:rFonts w:ascii="Segoe UI" w:hAnsi="Segoe UI" w:cs="Segoe UI"/>
          <w:sz w:val="16"/>
          <w:szCs w:val="16"/>
          <w:lang w:val="fr-FR"/>
        </w:rPr>
      </w:pPr>
      <w:r>
        <w:rPr>
          <w:rStyle w:val="Appelnotedebasdep"/>
          <w:rFonts w:ascii="Segoe UI" w:hAnsi="Segoe UI" w:cs="Segoe UI"/>
          <w:sz w:val="16"/>
          <w:szCs w:val="16"/>
        </w:rPr>
        <w:footnoteRef/>
      </w:r>
      <w:r>
        <w:rPr>
          <w:rFonts w:ascii="Segoe UI" w:hAnsi="Segoe UI" w:cs="Segoe UI"/>
          <w:sz w:val="16"/>
          <w:szCs w:val="16"/>
          <w:lang w:val="fr-FR"/>
        </w:rPr>
        <w:t xml:space="preserve"> </w:t>
      </w:r>
      <w:r>
        <w:rPr>
          <w:rFonts w:ascii="Segoe UI" w:hAnsi="Segoe UI" w:cs="Segoe UI"/>
          <w:color w:val="000000" w:themeColor="text1"/>
          <w:sz w:val="16"/>
          <w:szCs w:val="16"/>
          <w:lang w:val="fr-FR" w:eastAsia="ja-JP"/>
        </w:rPr>
        <w:t>Régime préférentiel pour les produits/équipements médicaux importés. Mise en place d’une voie rapide de dédouanement pour ces produits importés avec un temps de dédouanement réduit. Des dispositions de paiements différés des taxes : jusqu’à 3 mois de délais. Une réduction de taxes (taxe foncière et taxe urbaine) peut être demandée. La période maximale de report des pertes de 2020 a été étendue de 5 à 8 ans.</w:t>
      </w:r>
    </w:p>
  </w:footnote>
  <w:footnote w:id="2">
    <w:p w:rsidR="00227D1C" w:rsidRDefault="00227D1C" w:rsidP="00227D1C">
      <w:pPr>
        <w:pStyle w:val="Notedebasdepage"/>
        <w:spacing w:after="120"/>
        <w:jc w:val="both"/>
        <w:rPr>
          <w:rFonts w:ascii="Segoe UI" w:hAnsi="Segoe UI" w:cs="Segoe UI"/>
          <w:sz w:val="16"/>
          <w:lang w:val="fr-FR"/>
        </w:rPr>
      </w:pPr>
      <w:r>
        <w:rPr>
          <w:rStyle w:val="Appelnotedebasdep"/>
          <w:rFonts w:ascii="Segoe UI" w:hAnsi="Segoe UI" w:cs="Segoe UI"/>
          <w:sz w:val="16"/>
        </w:rPr>
        <w:footnoteRef/>
      </w:r>
      <w:r>
        <w:rPr>
          <w:rFonts w:ascii="Segoe UI" w:hAnsi="Segoe UI" w:cs="Segoe UI"/>
          <w:sz w:val="16"/>
          <w:lang w:val="fr-FR"/>
        </w:rPr>
        <w:t xml:space="preserve"> D’après un sondage réalisé sur 995 PME par les universités Tsinghua et Beida, 34% des PME estiment pouvoir survivre un mois sans activité et 33% estiment pouvoir tenir 2 mois au maximum. Le site de recrutement Zhaopin a déclaré cette semaine qu'environ 10% des entreprises interrogées étaient "</w:t>
      </w:r>
      <w:r>
        <w:rPr>
          <w:rFonts w:ascii="Segoe UI" w:hAnsi="Segoe UI" w:cs="Segoe UI"/>
          <w:i/>
          <w:sz w:val="16"/>
          <w:lang w:val="fr-FR"/>
        </w:rPr>
        <w:t>on the verge of death</w:t>
      </w:r>
      <w:r>
        <w:rPr>
          <w:rFonts w:ascii="Segoe UI" w:hAnsi="Segoe UI" w:cs="Segoe UI"/>
          <w:sz w:val="16"/>
          <w:lang w:val="fr-FR"/>
        </w:rPr>
        <w:t>", avec environ 30% d’entre elles prévoyant des suppressions d'emplois et 30% disant qu'elles ne pouvaient pas payer leurs employés à temps.</w:t>
      </w:r>
    </w:p>
  </w:footnote>
  <w:footnote w:id="3">
    <w:p w:rsidR="00227D1C" w:rsidRDefault="00227D1C" w:rsidP="00227D1C">
      <w:pPr>
        <w:pStyle w:val="Notedebasdepage"/>
        <w:jc w:val="both"/>
        <w:rPr>
          <w:rFonts w:ascii="Calibri" w:hAnsi="Calibri" w:cs="Times New Roman"/>
          <w:lang w:val="fr-FR"/>
        </w:rPr>
      </w:pPr>
      <w:r>
        <w:rPr>
          <w:rStyle w:val="Appelnotedebasdep"/>
          <w:rFonts w:ascii="Segoe UI" w:hAnsi="Segoe UI" w:cs="Segoe UI"/>
          <w:sz w:val="16"/>
          <w:szCs w:val="16"/>
        </w:rPr>
        <w:footnoteRef/>
      </w:r>
      <w:r>
        <w:rPr>
          <w:rFonts w:ascii="Segoe UI" w:hAnsi="Segoe UI" w:cs="Segoe UI"/>
          <w:sz w:val="16"/>
          <w:szCs w:val="16"/>
          <w:lang w:val="fr-FR"/>
        </w:rPr>
        <w:t xml:space="preserve"> Les banques</w:t>
      </w:r>
      <w:r>
        <w:rPr>
          <w:rFonts w:ascii="Segoe UI" w:hAnsi="Segoe UI" w:cs="Segoe UI"/>
          <w:sz w:val="16"/>
          <w:lang w:val="fr-FR"/>
        </w:rPr>
        <w:t xml:space="preserve"> « locales » (</w:t>
      </w:r>
      <w:r>
        <w:rPr>
          <w:rFonts w:ascii="Segoe UI" w:hAnsi="Segoe UI" w:cs="Segoe UI"/>
          <w:i/>
          <w:sz w:val="16"/>
          <w:lang w:val="fr-FR"/>
        </w:rPr>
        <w:t>urban, rural commercial banks</w:t>
      </w:r>
      <w:r>
        <w:rPr>
          <w:rFonts w:ascii="Segoe UI" w:hAnsi="Segoe UI" w:cs="Segoe UI"/>
          <w:sz w:val="16"/>
          <w:lang w:val="fr-FR"/>
        </w:rPr>
        <w:t xml:space="preserve"> et les </w:t>
      </w:r>
      <w:r>
        <w:rPr>
          <w:rFonts w:ascii="Segoe UI" w:hAnsi="Segoe UI" w:cs="Segoe UI"/>
          <w:i/>
          <w:sz w:val="16"/>
          <w:lang w:val="fr-FR"/>
        </w:rPr>
        <w:t>rural credit cooperatives</w:t>
      </w:r>
      <w:r>
        <w:rPr>
          <w:rFonts w:ascii="Segoe UI" w:hAnsi="Segoe UI" w:cs="Segoe UI"/>
          <w:sz w:val="16"/>
          <w:lang w:val="fr-FR"/>
        </w:rPr>
        <w:t xml:space="preserve">) qui émettent des prêts inclusifs à destination des micro et petites entreprises à des taux qui ne sont pas supérieurs de plus de 50 pdb par rapport au </w:t>
      </w:r>
      <w:r>
        <w:rPr>
          <w:rFonts w:ascii="Segoe UI" w:hAnsi="Segoe UI" w:cs="Segoe UI"/>
          <w:i/>
          <w:sz w:val="16"/>
          <w:lang w:val="fr-FR"/>
        </w:rPr>
        <w:t>Loan Prime Rate</w:t>
      </w:r>
      <w:r>
        <w:rPr>
          <w:rFonts w:ascii="Segoe UI" w:hAnsi="Segoe UI" w:cs="Segoe UI"/>
          <w:sz w:val="16"/>
          <w:lang w:val="fr-FR"/>
        </w:rPr>
        <w:t xml:space="preserve"> (LPR) pourront recevoir des fonds de refinancement (</w:t>
      </w:r>
      <w:r>
        <w:rPr>
          <w:rFonts w:ascii="Segoe UI" w:hAnsi="Segoe UI" w:cs="Segoe UI"/>
          <w:i/>
          <w:sz w:val="16"/>
          <w:lang w:val="fr-FR"/>
        </w:rPr>
        <w:t>re-lending funds</w:t>
      </w:r>
      <w:r>
        <w:rPr>
          <w:rFonts w:ascii="Segoe UI" w:hAnsi="Segoe UI" w:cs="Segoe UI"/>
          <w:sz w:val="16"/>
          <w:lang w:val="fr-FR"/>
        </w:rPr>
        <w:t>, toujours dans le cadre de ce programme) dont le montant égalera les montants prêtés.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5F4" w:rsidRDefault="00C115F4" w:rsidP="004432FE">
    <w:pPr>
      <w:pStyle w:val="En-tte"/>
    </w:pPr>
    <w:r>
      <w:rPr>
        <w:rFonts w:ascii="Segoe UI" w:hAnsi="Segoe UI" w:cs="Segoe UI"/>
        <w:noProof/>
        <w:color w:val="006CE5"/>
        <w:sz w:val="24"/>
        <w:szCs w:val="24"/>
        <w:u w:val="single"/>
        <w:lang w:eastAsia="fr-FR"/>
      </w:rPr>
      <w:drawing>
        <wp:anchor distT="0" distB="0" distL="114300" distR="114300" simplePos="0" relativeHeight="251675648" behindDoc="0" locked="0" layoutInCell="1" allowOverlap="1" wp14:anchorId="59F4F055" wp14:editId="24B4DCAD">
          <wp:simplePos x="0" y="0"/>
          <wp:positionH relativeFrom="column">
            <wp:posOffset>-666750</wp:posOffset>
          </wp:positionH>
          <wp:positionV relativeFrom="paragraph">
            <wp:posOffset>-242172</wp:posOffset>
          </wp:positionV>
          <wp:extent cx="809625" cy="409575"/>
          <wp:effectExtent l="0" t="0" r="9525" b="9525"/>
          <wp:wrapNone/>
          <wp:docPr id="32" name="Image 3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extLst>
                      <a:ext uri="{28A0092B-C50C-407E-A947-70E740481C1C}">
                        <a14:useLocalDpi xmlns:a14="http://schemas.microsoft.com/office/drawing/2010/main" val="0"/>
                      </a:ext>
                    </a:extLst>
                  </a:blip>
                  <a:srcRect t="24706" b="24706"/>
                  <a:stretch>
                    <a:fillRect/>
                  </a:stretch>
                </pic:blipFill>
                <pic:spPr bwMode="auto">
                  <a:xfrm>
                    <a:off x="0" y="0"/>
                    <a:ext cx="80962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b/>
        <w:noProof/>
        <w:color w:val="006CE5"/>
        <w:sz w:val="44"/>
        <w:szCs w:val="44"/>
        <w:lang w:eastAsia="fr-FR"/>
      </w:rPr>
      <mc:AlternateContent>
        <mc:Choice Requires="wps">
          <w:drawing>
            <wp:anchor distT="0" distB="0" distL="114300" distR="114300" simplePos="0" relativeHeight="251674624" behindDoc="0" locked="0" layoutInCell="1" allowOverlap="1" wp14:anchorId="49828C9F" wp14:editId="30599D4F">
              <wp:simplePos x="0" y="0"/>
              <wp:positionH relativeFrom="column">
                <wp:posOffset>347980</wp:posOffset>
              </wp:positionH>
              <wp:positionV relativeFrom="paragraph">
                <wp:posOffset>-324798</wp:posOffset>
              </wp:positionV>
              <wp:extent cx="0" cy="436245"/>
              <wp:effectExtent l="0" t="0" r="19050" b="20955"/>
              <wp:wrapNone/>
              <wp:docPr id="6" name="Connecteur droit 6"/>
              <wp:cNvGraphicFramePr/>
              <a:graphic xmlns:a="http://schemas.openxmlformats.org/drawingml/2006/main">
                <a:graphicData uri="http://schemas.microsoft.com/office/word/2010/wordprocessingShape">
                  <wps:wsp>
                    <wps:cNvCnPr/>
                    <wps:spPr>
                      <a:xfrm>
                        <a:off x="0" y="0"/>
                        <a:ext cx="0" cy="4362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A79625" id="Connecteur droit 6"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27.4pt,-25.55pt" to="27.4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" strokecolor="#5b9bd5 [3204]" strokeweight=".5pt">
              <v:stroke joinstyle="miter"/>
            </v:line>
          </w:pict>
        </mc:Fallback>
      </mc:AlternateContent>
    </w:r>
    <w:r>
      <w:rPr>
        <w:rFonts w:ascii="Segoe UI" w:hAnsi="Segoe UI" w:cs="Segoe UI"/>
        <w:b/>
        <w:noProof/>
        <w:color w:val="006CE5"/>
        <w:sz w:val="44"/>
        <w:szCs w:val="44"/>
        <w:lang w:eastAsia="fr-FR"/>
      </w:rPr>
      <mc:AlternateContent>
        <mc:Choice Requires="wps">
          <w:drawing>
            <wp:anchor distT="0" distB="0" distL="114300" distR="114300" simplePos="0" relativeHeight="251673600" behindDoc="0" locked="0" layoutInCell="1" allowOverlap="1" wp14:anchorId="78F4A89A" wp14:editId="5CF51208">
              <wp:simplePos x="0" y="0"/>
              <wp:positionH relativeFrom="page">
                <wp:posOffset>-1583</wp:posOffset>
              </wp:positionH>
              <wp:positionV relativeFrom="page">
                <wp:posOffset>10795</wp:posOffset>
              </wp:positionV>
              <wp:extent cx="7779224" cy="122830"/>
              <wp:effectExtent l="0" t="0" r="0" b="0"/>
              <wp:wrapSquare wrapText="bothSides"/>
              <wp:docPr id="12" name="Rectangle 12"/>
              <wp:cNvGraphicFramePr/>
              <a:graphic xmlns:a="http://schemas.openxmlformats.org/drawingml/2006/main">
                <a:graphicData uri="http://schemas.microsoft.com/office/word/2010/wordprocessingShape">
                  <wps:wsp>
                    <wps:cNvSpPr/>
                    <wps:spPr>
                      <a:xfrm>
                        <a:off x="0" y="0"/>
                        <a:ext cx="7779224" cy="122830"/>
                      </a:xfrm>
                      <a:prstGeom prst="rect">
                        <a:avLst/>
                      </a:prstGeom>
                      <a:solidFill>
                        <a:srgbClr val="006CE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396C15" id="Rectangle 12" o:spid="_x0000_s1026" style="position:absolute;margin-left:-.1pt;margin-top:.85pt;width:612.55pt;height:9.6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" fillcolor="#006ce5" stroked="f" strokeweight="1pt">
              <w10:wrap type="square" anchorx="page" anchory="page"/>
            </v:rect>
          </w:pict>
        </mc:Fallback>
      </mc:AlternateContent>
    </w:r>
  </w:p>
  <w:p w:rsidR="00C115F4" w:rsidRDefault="00C115F4" w:rsidP="004432FE">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15F4" w:rsidRDefault="00C115F4" w:rsidP="004432FE">
    <w:pPr>
      <w:pStyle w:val="En-tte"/>
      <w:jc w:val="center"/>
    </w:pPr>
    <w:r>
      <w:rPr>
        <w:noProof/>
        <w:lang w:eastAsia="fr-FR"/>
      </w:rPr>
      <w:drawing>
        <wp:inline distT="0" distB="0" distL="0" distR="0" wp14:anchorId="40C1A0F0" wp14:editId="5F47DD78">
          <wp:extent cx="914400" cy="542925"/>
          <wp:effectExtent l="0" t="0" r="0" b="9525"/>
          <wp:docPr id="33" name="Image 33" descr="MariannePanto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riannePanton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F27E5"/>
    <w:multiLevelType w:val="hybridMultilevel"/>
    <w:tmpl w:val="F92E10BA"/>
    <w:lvl w:ilvl="0" w:tplc="AE6251C2">
      <w:start w:val="1"/>
      <w:numFmt w:val="decimal"/>
      <w:lvlText w:val="%1."/>
      <w:lvlJc w:val="left"/>
      <w:pPr>
        <w:ind w:left="2487" w:hanging="360"/>
      </w:pPr>
      <w:rPr>
        <w:b/>
        <w:i w:val="0"/>
      </w:rPr>
    </w:lvl>
    <w:lvl w:ilvl="1" w:tplc="040C0019">
      <w:start w:val="1"/>
      <w:numFmt w:val="lowerLetter"/>
      <w:lvlText w:val="%2."/>
      <w:lvlJc w:val="left"/>
      <w:pPr>
        <w:ind w:left="3207" w:hanging="360"/>
      </w:pPr>
    </w:lvl>
    <w:lvl w:ilvl="2" w:tplc="040C001B">
      <w:start w:val="1"/>
      <w:numFmt w:val="lowerRoman"/>
      <w:lvlText w:val="%3."/>
      <w:lvlJc w:val="right"/>
      <w:pPr>
        <w:ind w:left="3927" w:hanging="180"/>
      </w:pPr>
    </w:lvl>
    <w:lvl w:ilvl="3" w:tplc="040C000F">
      <w:start w:val="1"/>
      <w:numFmt w:val="decimal"/>
      <w:lvlText w:val="%4."/>
      <w:lvlJc w:val="left"/>
      <w:pPr>
        <w:ind w:left="4647" w:hanging="360"/>
      </w:pPr>
    </w:lvl>
    <w:lvl w:ilvl="4" w:tplc="040C0019">
      <w:start w:val="1"/>
      <w:numFmt w:val="lowerLetter"/>
      <w:lvlText w:val="%5."/>
      <w:lvlJc w:val="left"/>
      <w:pPr>
        <w:ind w:left="5367" w:hanging="360"/>
      </w:pPr>
    </w:lvl>
    <w:lvl w:ilvl="5" w:tplc="040C001B">
      <w:start w:val="1"/>
      <w:numFmt w:val="lowerRoman"/>
      <w:lvlText w:val="%6."/>
      <w:lvlJc w:val="right"/>
      <w:pPr>
        <w:ind w:left="6087" w:hanging="180"/>
      </w:pPr>
    </w:lvl>
    <w:lvl w:ilvl="6" w:tplc="040C000F">
      <w:start w:val="1"/>
      <w:numFmt w:val="decimal"/>
      <w:lvlText w:val="%7."/>
      <w:lvlJc w:val="left"/>
      <w:pPr>
        <w:ind w:left="6807" w:hanging="360"/>
      </w:pPr>
    </w:lvl>
    <w:lvl w:ilvl="7" w:tplc="040C0019">
      <w:start w:val="1"/>
      <w:numFmt w:val="lowerLetter"/>
      <w:lvlText w:val="%8."/>
      <w:lvlJc w:val="left"/>
      <w:pPr>
        <w:ind w:left="7527" w:hanging="360"/>
      </w:pPr>
    </w:lvl>
    <w:lvl w:ilvl="8" w:tplc="040C001B">
      <w:start w:val="1"/>
      <w:numFmt w:val="lowerRoman"/>
      <w:lvlText w:val="%9."/>
      <w:lvlJc w:val="right"/>
      <w:pPr>
        <w:ind w:left="8247" w:hanging="180"/>
      </w:pPr>
    </w:lvl>
  </w:abstractNum>
  <w:abstractNum w:abstractNumId="1" w15:restartNumberingAfterBreak="0">
    <w:nsid w:val="027D11B8"/>
    <w:multiLevelType w:val="hybridMultilevel"/>
    <w:tmpl w:val="DE3C217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3F067A"/>
    <w:multiLevelType w:val="hybridMultilevel"/>
    <w:tmpl w:val="78F24274"/>
    <w:lvl w:ilvl="0" w:tplc="65D87EEA">
      <w:start w:val="16"/>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53612D"/>
    <w:multiLevelType w:val="multilevel"/>
    <w:tmpl w:val="B16E4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9A0B72"/>
    <w:multiLevelType w:val="hybridMultilevel"/>
    <w:tmpl w:val="798E98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C7233E"/>
    <w:multiLevelType w:val="multilevel"/>
    <w:tmpl w:val="684A5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957232"/>
    <w:multiLevelType w:val="hybridMultilevel"/>
    <w:tmpl w:val="FE081606"/>
    <w:lvl w:ilvl="0" w:tplc="94F2A792">
      <w:start w:val="45"/>
      <w:numFmt w:val="bullet"/>
      <w:lvlText w:val="-"/>
      <w:lvlJc w:val="left"/>
      <w:pPr>
        <w:ind w:left="720" w:hanging="360"/>
      </w:pPr>
      <w:rPr>
        <w:rFonts w:ascii="Calibri" w:eastAsia="SimSu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4996626"/>
    <w:multiLevelType w:val="hybridMultilevel"/>
    <w:tmpl w:val="167E1E8A"/>
    <w:lvl w:ilvl="0" w:tplc="1F961EDC">
      <w:start w:val="1"/>
      <w:numFmt w:val="bullet"/>
      <w:pStyle w:val="Briefinglist1"/>
      <w:lvlText w:val=""/>
      <w:lvlJc w:val="left"/>
      <w:pPr>
        <w:tabs>
          <w:tab w:val="num" w:pos="284"/>
        </w:tabs>
        <w:ind w:left="284" w:hanging="284"/>
      </w:pPr>
      <w:rPr>
        <w:rFonts w:ascii="Symbol" w:hAnsi="Symbol" w:hint="default"/>
        <w:b w:val="0"/>
        <w:i w:val="0"/>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F600AE"/>
    <w:multiLevelType w:val="hybridMultilevel"/>
    <w:tmpl w:val="7E48EF44"/>
    <w:lvl w:ilvl="0" w:tplc="7D9A04D6">
      <w:start w:val="1"/>
      <w:numFmt w:val="bullet"/>
      <w:lvlText w:val=""/>
      <w:lvlJc w:val="left"/>
      <w:pPr>
        <w:ind w:left="720" w:hanging="360"/>
      </w:pPr>
      <w:rPr>
        <w:rFonts w:ascii="Wingdings" w:hAnsi="Wingdings" w:hint="default"/>
        <w:color w:val="006CE5"/>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9B7E60"/>
    <w:multiLevelType w:val="hybridMultilevel"/>
    <w:tmpl w:val="F2A0A6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A3606C"/>
    <w:multiLevelType w:val="hybridMultilevel"/>
    <w:tmpl w:val="5EB22984"/>
    <w:lvl w:ilvl="0" w:tplc="C07E3096">
      <w:start w:val="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8F7275"/>
    <w:multiLevelType w:val="hybridMultilevel"/>
    <w:tmpl w:val="4EF8D602"/>
    <w:lvl w:ilvl="0" w:tplc="7D9A04D6">
      <w:start w:val="1"/>
      <w:numFmt w:val="bullet"/>
      <w:lvlText w:val=""/>
      <w:lvlJc w:val="left"/>
      <w:pPr>
        <w:ind w:left="720" w:hanging="360"/>
      </w:pPr>
      <w:rPr>
        <w:rFonts w:ascii="Wingdings" w:hAnsi="Wingdings" w:hint="default"/>
        <w:color w:val="006CE5"/>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3D5F4C"/>
    <w:multiLevelType w:val="hybridMultilevel"/>
    <w:tmpl w:val="633C7000"/>
    <w:lvl w:ilvl="0" w:tplc="07FCC118">
      <w:numFmt w:val="bullet"/>
      <w:lvlText w:val="-"/>
      <w:lvlJc w:val="left"/>
      <w:pPr>
        <w:ind w:left="720" w:hanging="360"/>
      </w:pPr>
      <w:rPr>
        <w:rFonts w:ascii="Segoe UI" w:eastAsiaTheme="minorEastAsia" w:hAnsi="Segoe UI" w:cs="Segoe UI" w:hint="default"/>
        <w:color w:val="006CE5"/>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5E0699"/>
    <w:multiLevelType w:val="hybridMultilevel"/>
    <w:tmpl w:val="5BFC32EC"/>
    <w:lvl w:ilvl="0" w:tplc="AF8C33DE">
      <w:start w:val="9"/>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B0B0C3F"/>
    <w:multiLevelType w:val="hybridMultilevel"/>
    <w:tmpl w:val="D83AE6F0"/>
    <w:lvl w:ilvl="0" w:tplc="6046E208">
      <w:start w:val="1"/>
      <w:numFmt w:val="bullet"/>
      <w:lvlText w:val=""/>
      <w:lvlJc w:val="left"/>
      <w:pPr>
        <w:ind w:left="720" w:hanging="360"/>
      </w:pPr>
      <w:rPr>
        <w:rFonts w:ascii="Wingdings" w:eastAsiaTheme="minorEastAsia" w:hAnsi="Wingdings"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0D17B8"/>
    <w:multiLevelType w:val="hybridMultilevel"/>
    <w:tmpl w:val="DD48B8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4B4CC8"/>
    <w:multiLevelType w:val="hybridMultilevel"/>
    <w:tmpl w:val="97925A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D909EA"/>
    <w:multiLevelType w:val="hybridMultilevel"/>
    <w:tmpl w:val="986E1816"/>
    <w:lvl w:ilvl="0" w:tplc="53F8AC82">
      <w:start w:val="5"/>
      <w:numFmt w:val="bullet"/>
      <w:lvlText w:val="-"/>
      <w:lvlJc w:val="left"/>
      <w:pPr>
        <w:ind w:left="720" w:hanging="360"/>
      </w:pPr>
      <w:rPr>
        <w:rFonts w:ascii="Times New Roman" w:eastAsia="SimSun" w:hAnsi="Times New Roman" w:cs="Times New Roman"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B237F7F"/>
    <w:multiLevelType w:val="hybridMultilevel"/>
    <w:tmpl w:val="8AD0E4D4"/>
    <w:lvl w:ilvl="0" w:tplc="040C0001">
      <w:start w:val="1"/>
      <w:numFmt w:val="bullet"/>
      <w:lvlText w:val=""/>
      <w:lvlJc w:val="left"/>
      <w:pPr>
        <w:ind w:left="924" w:hanging="360"/>
      </w:pPr>
      <w:rPr>
        <w:rFonts w:ascii="Symbol" w:hAnsi="Symbol" w:hint="default"/>
      </w:rPr>
    </w:lvl>
    <w:lvl w:ilvl="1" w:tplc="040C0003" w:tentative="1">
      <w:start w:val="1"/>
      <w:numFmt w:val="bullet"/>
      <w:lvlText w:val="o"/>
      <w:lvlJc w:val="left"/>
      <w:pPr>
        <w:ind w:left="1644" w:hanging="360"/>
      </w:pPr>
      <w:rPr>
        <w:rFonts w:ascii="Courier New" w:hAnsi="Courier New" w:cs="Courier New" w:hint="default"/>
      </w:rPr>
    </w:lvl>
    <w:lvl w:ilvl="2" w:tplc="040C0005" w:tentative="1">
      <w:start w:val="1"/>
      <w:numFmt w:val="bullet"/>
      <w:lvlText w:val=""/>
      <w:lvlJc w:val="left"/>
      <w:pPr>
        <w:ind w:left="2364" w:hanging="360"/>
      </w:pPr>
      <w:rPr>
        <w:rFonts w:ascii="Wingdings" w:hAnsi="Wingdings" w:hint="default"/>
      </w:rPr>
    </w:lvl>
    <w:lvl w:ilvl="3" w:tplc="040C0001" w:tentative="1">
      <w:start w:val="1"/>
      <w:numFmt w:val="bullet"/>
      <w:lvlText w:val=""/>
      <w:lvlJc w:val="left"/>
      <w:pPr>
        <w:ind w:left="3084" w:hanging="360"/>
      </w:pPr>
      <w:rPr>
        <w:rFonts w:ascii="Symbol" w:hAnsi="Symbol" w:hint="default"/>
      </w:rPr>
    </w:lvl>
    <w:lvl w:ilvl="4" w:tplc="040C0003" w:tentative="1">
      <w:start w:val="1"/>
      <w:numFmt w:val="bullet"/>
      <w:lvlText w:val="o"/>
      <w:lvlJc w:val="left"/>
      <w:pPr>
        <w:ind w:left="3804" w:hanging="360"/>
      </w:pPr>
      <w:rPr>
        <w:rFonts w:ascii="Courier New" w:hAnsi="Courier New" w:cs="Courier New" w:hint="default"/>
      </w:rPr>
    </w:lvl>
    <w:lvl w:ilvl="5" w:tplc="040C0005" w:tentative="1">
      <w:start w:val="1"/>
      <w:numFmt w:val="bullet"/>
      <w:lvlText w:val=""/>
      <w:lvlJc w:val="left"/>
      <w:pPr>
        <w:ind w:left="4524" w:hanging="360"/>
      </w:pPr>
      <w:rPr>
        <w:rFonts w:ascii="Wingdings" w:hAnsi="Wingdings" w:hint="default"/>
      </w:rPr>
    </w:lvl>
    <w:lvl w:ilvl="6" w:tplc="040C0001" w:tentative="1">
      <w:start w:val="1"/>
      <w:numFmt w:val="bullet"/>
      <w:lvlText w:val=""/>
      <w:lvlJc w:val="left"/>
      <w:pPr>
        <w:ind w:left="5244" w:hanging="360"/>
      </w:pPr>
      <w:rPr>
        <w:rFonts w:ascii="Symbol" w:hAnsi="Symbol" w:hint="default"/>
      </w:rPr>
    </w:lvl>
    <w:lvl w:ilvl="7" w:tplc="040C0003" w:tentative="1">
      <w:start w:val="1"/>
      <w:numFmt w:val="bullet"/>
      <w:lvlText w:val="o"/>
      <w:lvlJc w:val="left"/>
      <w:pPr>
        <w:ind w:left="5964" w:hanging="360"/>
      </w:pPr>
      <w:rPr>
        <w:rFonts w:ascii="Courier New" w:hAnsi="Courier New" w:cs="Courier New" w:hint="default"/>
      </w:rPr>
    </w:lvl>
    <w:lvl w:ilvl="8" w:tplc="040C0005" w:tentative="1">
      <w:start w:val="1"/>
      <w:numFmt w:val="bullet"/>
      <w:lvlText w:val=""/>
      <w:lvlJc w:val="left"/>
      <w:pPr>
        <w:ind w:left="6684" w:hanging="360"/>
      </w:pPr>
      <w:rPr>
        <w:rFonts w:ascii="Wingdings" w:hAnsi="Wingdings" w:hint="default"/>
      </w:rPr>
    </w:lvl>
  </w:abstractNum>
  <w:abstractNum w:abstractNumId="19" w15:restartNumberingAfterBreak="0">
    <w:nsid w:val="3DFF1D77"/>
    <w:multiLevelType w:val="hybridMultilevel"/>
    <w:tmpl w:val="C72A17DE"/>
    <w:lvl w:ilvl="0" w:tplc="805CB03E">
      <w:start w:val="1"/>
      <w:numFmt w:val="bullet"/>
      <w:lvlText w:val=""/>
      <w:lvlJc w:val="left"/>
      <w:pPr>
        <w:ind w:left="720" w:hanging="360"/>
      </w:pPr>
      <w:rPr>
        <w:rFonts w:ascii="Wingdings" w:eastAsiaTheme="minorEastAsia" w:hAnsi="Wingdings"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9C6C0D"/>
    <w:multiLevelType w:val="hybridMultilevel"/>
    <w:tmpl w:val="D46A8272"/>
    <w:lvl w:ilvl="0" w:tplc="981C0E5A">
      <w:start w:val="1"/>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C7734B"/>
    <w:multiLevelType w:val="multilevel"/>
    <w:tmpl w:val="ABC41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B44954"/>
    <w:multiLevelType w:val="hybridMultilevel"/>
    <w:tmpl w:val="B55C104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A687E87"/>
    <w:multiLevelType w:val="hybridMultilevel"/>
    <w:tmpl w:val="FEB29C28"/>
    <w:lvl w:ilvl="0" w:tplc="FE78C4FA">
      <w:start w:val="1"/>
      <w:numFmt w:val="bullet"/>
      <w:suff w:val="space"/>
      <w:lvlText w:val=""/>
      <w:lvlJc w:val="left"/>
      <w:pPr>
        <w:ind w:left="113" w:firstLine="0"/>
      </w:pPr>
      <w:rPr>
        <w:rFonts w:ascii="Wingdings" w:hAnsi="Wingdings" w:hint="default"/>
      </w:rPr>
    </w:lvl>
    <w:lvl w:ilvl="1" w:tplc="997E0750">
      <w:start w:val="1"/>
      <w:numFmt w:val="bullet"/>
      <w:suff w:val="space"/>
      <w:lvlText w:val=""/>
      <w:lvlJc w:val="left"/>
      <w:pPr>
        <w:ind w:left="113" w:firstLine="0"/>
      </w:pPr>
      <w:rPr>
        <w:rFonts w:ascii="Wingdings" w:hAnsi="Wingdings" w:hint="default"/>
        <w:color w:val="006CE5"/>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1F79ED"/>
    <w:multiLevelType w:val="hybridMultilevel"/>
    <w:tmpl w:val="9D96E91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24D6478"/>
    <w:multiLevelType w:val="hybridMultilevel"/>
    <w:tmpl w:val="9AC048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4DA3EF1"/>
    <w:multiLevelType w:val="hybridMultilevel"/>
    <w:tmpl w:val="D87A81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CC76790"/>
    <w:multiLevelType w:val="hybridMultilevel"/>
    <w:tmpl w:val="F7B0AD90"/>
    <w:lvl w:ilvl="0" w:tplc="9E7A1BC0">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EC0EA8"/>
    <w:multiLevelType w:val="hybridMultilevel"/>
    <w:tmpl w:val="D4986AC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744728FB"/>
    <w:multiLevelType w:val="multilevel"/>
    <w:tmpl w:val="E04077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1"/>
  </w:num>
  <w:num w:numId="3">
    <w:abstractNumId w:val="8"/>
  </w:num>
  <w:num w:numId="4">
    <w:abstractNumId w:val="2"/>
  </w:num>
  <w:num w:numId="5">
    <w:abstractNumId w:val="2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0"/>
  </w:num>
  <w:num w:numId="9">
    <w:abstractNumId w:val="7"/>
  </w:num>
  <w:num w:numId="10">
    <w:abstractNumId w:val="10"/>
  </w:num>
  <w:num w:numId="11">
    <w:abstractNumId w:val="25"/>
  </w:num>
  <w:num w:numId="12">
    <w:abstractNumId w:val="14"/>
  </w:num>
  <w:num w:numId="13">
    <w:abstractNumId w:val="19"/>
  </w:num>
  <w:num w:numId="14">
    <w:abstractNumId w:val="27"/>
  </w:num>
  <w:num w:numId="15">
    <w:abstractNumId w:val="27"/>
  </w:num>
  <w:num w:numId="16">
    <w:abstractNumId w:val="29"/>
  </w:num>
  <w:num w:numId="17">
    <w:abstractNumId w:val="5"/>
  </w:num>
  <w:num w:numId="18">
    <w:abstractNumId w:val="21"/>
  </w:num>
  <w:num w:numId="19">
    <w:abstractNumId w:val="3"/>
  </w:num>
  <w:num w:numId="20">
    <w:abstractNumId w:val="27"/>
  </w:num>
  <w:num w:numId="21">
    <w:abstractNumId w:val="0"/>
  </w:num>
  <w:num w:numId="22">
    <w:abstractNumId w:val="27"/>
  </w:num>
  <w:num w:numId="23">
    <w:abstractNumId w:val="6"/>
  </w:num>
  <w:num w:numId="24">
    <w:abstractNumId w:val="13"/>
  </w:num>
  <w:num w:numId="25">
    <w:abstractNumId w:val="18"/>
  </w:num>
  <w:num w:numId="26">
    <w:abstractNumId w:val="1"/>
  </w:num>
  <w:num w:numId="27">
    <w:abstractNumId w:val="16"/>
  </w:num>
  <w:num w:numId="28">
    <w:abstractNumId w:val="15"/>
  </w:num>
  <w:num w:numId="29">
    <w:abstractNumId w:val="4"/>
  </w:num>
  <w:num w:numId="30">
    <w:abstractNumId w:val="26"/>
  </w:num>
  <w:num w:numId="31">
    <w:abstractNumId w:val="9"/>
  </w:num>
  <w:num w:numId="32">
    <w:abstractNumId w:val="22"/>
  </w:num>
  <w:num w:numId="33">
    <w:abstractNumId w:val="28"/>
  </w:num>
  <w:num w:numId="34">
    <w:abstractNumId w:val="23"/>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2FE"/>
    <w:rsid w:val="00000D83"/>
    <w:rsid w:val="000037BC"/>
    <w:rsid w:val="00003B44"/>
    <w:rsid w:val="00005759"/>
    <w:rsid w:val="00006708"/>
    <w:rsid w:val="00006817"/>
    <w:rsid w:val="00006D55"/>
    <w:rsid w:val="00011EFD"/>
    <w:rsid w:val="0001287C"/>
    <w:rsid w:val="00012C78"/>
    <w:rsid w:val="00012D97"/>
    <w:rsid w:val="00013B3C"/>
    <w:rsid w:val="00013DCB"/>
    <w:rsid w:val="00014D51"/>
    <w:rsid w:val="00015371"/>
    <w:rsid w:val="000156D2"/>
    <w:rsid w:val="0001577F"/>
    <w:rsid w:val="00015F77"/>
    <w:rsid w:val="000161EC"/>
    <w:rsid w:val="0001656A"/>
    <w:rsid w:val="00017DC1"/>
    <w:rsid w:val="00020AF6"/>
    <w:rsid w:val="00021E0B"/>
    <w:rsid w:val="0002317A"/>
    <w:rsid w:val="00024CF5"/>
    <w:rsid w:val="000267BC"/>
    <w:rsid w:val="0002691F"/>
    <w:rsid w:val="00027375"/>
    <w:rsid w:val="000279D8"/>
    <w:rsid w:val="00033759"/>
    <w:rsid w:val="00036EF7"/>
    <w:rsid w:val="00037ED0"/>
    <w:rsid w:val="00042975"/>
    <w:rsid w:val="00042D3A"/>
    <w:rsid w:val="00042DAF"/>
    <w:rsid w:val="000438AD"/>
    <w:rsid w:val="00043939"/>
    <w:rsid w:val="0004662D"/>
    <w:rsid w:val="00046ABB"/>
    <w:rsid w:val="00046B47"/>
    <w:rsid w:val="00047330"/>
    <w:rsid w:val="00047471"/>
    <w:rsid w:val="000508F9"/>
    <w:rsid w:val="000512C8"/>
    <w:rsid w:val="00051E28"/>
    <w:rsid w:val="000538A5"/>
    <w:rsid w:val="000540AF"/>
    <w:rsid w:val="00055D8C"/>
    <w:rsid w:val="000608C9"/>
    <w:rsid w:val="00060DB2"/>
    <w:rsid w:val="00061C6B"/>
    <w:rsid w:val="0006221C"/>
    <w:rsid w:val="000626ED"/>
    <w:rsid w:val="00062D10"/>
    <w:rsid w:val="00063733"/>
    <w:rsid w:val="000646D9"/>
    <w:rsid w:val="0006733E"/>
    <w:rsid w:val="000701D7"/>
    <w:rsid w:val="0007078D"/>
    <w:rsid w:val="000707E8"/>
    <w:rsid w:val="00071BA9"/>
    <w:rsid w:val="00071D25"/>
    <w:rsid w:val="00071DF5"/>
    <w:rsid w:val="00072326"/>
    <w:rsid w:val="00072826"/>
    <w:rsid w:val="00073101"/>
    <w:rsid w:val="000733D3"/>
    <w:rsid w:val="00074CB6"/>
    <w:rsid w:val="00075AA8"/>
    <w:rsid w:val="00075BB9"/>
    <w:rsid w:val="000804EF"/>
    <w:rsid w:val="00080ACF"/>
    <w:rsid w:val="00081A15"/>
    <w:rsid w:val="00081BC7"/>
    <w:rsid w:val="00081D42"/>
    <w:rsid w:val="000829A3"/>
    <w:rsid w:val="00083ABB"/>
    <w:rsid w:val="00085726"/>
    <w:rsid w:val="00085B88"/>
    <w:rsid w:val="00087316"/>
    <w:rsid w:val="00087D74"/>
    <w:rsid w:val="00091B4F"/>
    <w:rsid w:val="00091F91"/>
    <w:rsid w:val="00092845"/>
    <w:rsid w:val="00092F32"/>
    <w:rsid w:val="00093303"/>
    <w:rsid w:val="00094424"/>
    <w:rsid w:val="000960C3"/>
    <w:rsid w:val="00097E3D"/>
    <w:rsid w:val="000A0434"/>
    <w:rsid w:val="000A31A6"/>
    <w:rsid w:val="000A32F9"/>
    <w:rsid w:val="000A5BE8"/>
    <w:rsid w:val="000A70B0"/>
    <w:rsid w:val="000B1899"/>
    <w:rsid w:val="000B1D6F"/>
    <w:rsid w:val="000B4067"/>
    <w:rsid w:val="000B422A"/>
    <w:rsid w:val="000B5D50"/>
    <w:rsid w:val="000B5D88"/>
    <w:rsid w:val="000B61BF"/>
    <w:rsid w:val="000B70CA"/>
    <w:rsid w:val="000B7227"/>
    <w:rsid w:val="000C10A9"/>
    <w:rsid w:val="000C15E1"/>
    <w:rsid w:val="000C1809"/>
    <w:rsid w:val="000C2B86"/>
    <w:rsid w:val="000C3029"/>
    <w:rsid w:val="000C3352"/>
    <w:rsid w:val="000C3385"/>
    <w:rsid w:val="000C47AA"/>
    <w:rsid w:val="000C4D42"/>
    <w:rsid w:val="000C56D6"/>
    <w:rsid w:val="000C5C83"/>
    <w:rsid w:val="000C6FC7"/>
    <w:rsid w:val="000C6FF8"/>
    <w:rsid w:val="000C7A58"/>
    <w:rsid w:val="000C7B14"/>
    <w:rsid w:val="000D08B5"/>
    <w:rsid w:val="000D4BAB"/>
    <w:rsid w:val="000D5657"/>
    <w:rsid w:val="000D6C0B"/>
    <w:rsid w:val="000E0484"/>
    <w:rsid w:val="000E138D"/>
    <w:rsid w:val="000E16A3"/>
    <w:rsid w:val="000E2816"/>
    <w:rsid w:val="000E3327"/>
    <w:rsid w:val="000E704B"/>
    <w:rsid w:val="000E760B"/>
    <w:rsid w:val="000E7C35"/>
    <w:rsid w:val="000E7FA3"/>
    <w:rsid w:val="000F0B15"/>
    <w:rsid w:val="000F0E0B"/>
    <w:rsid w:val="000F1DF9"/>
    <w:rsid w:val="000F3C29"/>
    <w:rsid w:val="000F4A87"/>
    <w:rsid w:val="000F4AAE"/>
    <w:rsid w:val="000F5793"/>
    <w:rsid w:val="000F5CB4"/>
    <w:rsid w:val="001005EC"/>
    <w:rsid w:val="00102B66"/>
    <w:rsid w:val="00104142"/>
    <w:rsid w:val="00104E92"/>
    <w:rsid w:val="00104E9E"/>
    <w:rsid w:val="001050DC"/>
    <w:rsid w:val="00106C82"/>
    <w:rsid w:val="00110017"/>
    <w:rsid w:val="001100DC"/>
    <w:rsid w:val="00113159"/>
    <w:rsid w:val="00113239"/>
    <w:rsid w:val="00114B68"/>
    <w:rsid w:val="0011635B"/>
    <w:rsid w:val="00117717"/>
    <w:rsid w:val="0012127A"/>
    <w:rsid w:val="0012237B"/>
    <w:rsid w:val="001249BE"/>
    <w:rsid w:val="001251F3"/>
    <w:rsid w:val="00126A87"/>
    <w:rsid w:val="00130B1C"/>
    <w:rsid w:val="00131934"/>
    <w:rsid w:val="00132945"/>
    <w:rsid w:val="00133518"/>
    <w:rsid w:val="00133A99"/>
    <w:rsid w:val="00134925"/>
    <w:rsid w:val="00134C6A"/>
    <w:rsid w:val="0013630B"/>
    <w:rsid w:val="0013666B"/>
    <w:rsid w:val="00136F34"/>
    <w:rsid w:val="001376B1"/>
    <w:rsid w:val="0014053C"/>
    <w:rsid w:val="0014141E"/>
    <w:rsid w:val="00145466"/>
    <w:rsid w:val="00145954"/>
    <w:rsid w:val="0014708C"/>
    <w:rsid w:val="001472C5"/>
    <w:rsid w:val="00147A74"/>
    <w:rsid w:val="00150446"/>
    <w:rsid w:val="00153EC2"/>
    <w:rsid w:val="001543E3"/>
    <w:rsid w:val="0015590C"/>
    <w:rsid w:val="00155D71"/>
    <w:rsid w:val="001610F6"/>
    <w:rsid w:val="001635D5"/>
    <w:rsid w:val="001666A1"/>
    <w:rsid w:val="001666F0"/>
    <w:rsid w:val="00166CF7"/>
    <w:rsid w:val="001673F5"/>
    <w:rsid w:val="00172AD3"/>
    <w:rsid w:val="00172E4A"/>
    <w:rsid w:val="00175C6A"/>
    <w:rsid w:val="00176F29"/>
    <w:rsid w:val="0018014F"/>
    <w:rsid w:val="001814B0"/>
    <w:rsid w:val="001817C1"/>
    <w:rsid w:val="001822CD"/>
    <w:rsid w:val="00182979"/>
    <w:rsid w:val="00182E45"/>
    <w:rsid w:val="00183726"/>
    <w:rsid w:val="00185A6D"/>
    <w:rsid w:val="00185BFA"/>
    <w:rsid w:val="00190BAA"/>
    <w:rsid w:val="00191937"/>
    <w:rsid w:val="00191DC5"/>
    <w:rsid w:val="00192AF3"/>
    <w:rsid w:val="001932A6"/>
    <w:rsid w:val="001938EA"/>
    <w:rsid w:val="00193CA2"/>
    <w:rsid w:val="00193F33"/>
    <w:rsid w:val="00194AF7"/>
    <w:rsid w:val="00195634"/>
    <w:rsid w:val="00195D9B"/>
    <w:rsid w:val="00196266"/>
    <w:rsid w:val="00196571"/>
    <w:rsid w:val="00197A88"/>
    <w:rsid w:val="001A248F"/>
    <w:rsid w:val="001A7D1E"/>
    <w:rsid w:val="001B0238"/>
    <w:rsid w:val="001B029B"/>
    <w:rsid w:val="001B2096"/>
    <w:rsid w:val="001B3757"/>
    <w:rsid w:val="001B4938"/>
    <w:rsid w:val="001B5BD9"/>
    <w:rsid w:val="001B68E7"/>
    <w:rsid w:val="001B6B7B"/>
    <w:rsid w:val="001C06FD"/>
    <w:rsid w:val="001C0943"/>
    <w:rsid w:val="001C0D92"/>
    <w:rsid w:val="001C17A3"/>
    <w:rsid w:val="001C228B"/>
    <w:rsid w:val="001C2834"/>
    <w:rsid w:val="001C3367"/>
    <w:rsid w:val="001C49E1"/>
    <w:rsid w:val="001C5716"/>
    <w:rsid w:val="001C59F3"/>
    <w:rsid w:val="001C5A9B"/>
    <w:rsid w:val="001C6578"/>
    <w:rsid w:val="001C73A2"/>
    <w:rsid w:val="001D137C"/>
    <w:rsid w:val="001D3ABA"/>
    <w:rsid w:val="001D4DE4"/>
    <w:rsid w:val="001D53A7"/>
    <w:rsid w:val="001D5435"/>
    <w:rsid w:val="001D54FD"/>
    <w:rsid w:val="001D60FE"/>
    <w:rsid w:val="001D6997"/>
    <w:rsid w:val="001D725F"/>
    <w:rsid w:val="001D74BE"/>
    <w:rsid w:val="001D765E"/>
    <w:rsid w:val="001E0C32"/>
    <w:rsid w:val="001E0C4A"/>
    <w:rsid w:val="001E16AB"/>
    <w:rsid w:val="001E1A6B"/>
    <w:rsid w:val="001E269C"/>
    <w:rsid w:val="001E459B"/>
    <w:rsid w:val="001E4BA6"/>
    <w:rsid w:val="001E5A49"/>
    <w:rsid w:val="001F09E4"/>
    <w:rsid w:val="001F3AFD"/>
    <w:rsid w:val="001F4ED9"/>
    <w:rsid w:val="001F515A"/>
    <w:rsid w:val="001F5B9F"/>
    <w:rsid w:val="00200C72"/>
    <w:rsid w:val="002018B4"/>
    <w:rsid w:val="00202012"/>
    <w:rsid w:val="00203573"/>
    <w:rsid w:val="002076A1"/>
    <w:rsid w:val="00210BEE"/>
    <w:rsid w:val="002111A2"/>
    <w:rsid w:val="0021193D"/>
    <w:rsid w:val="002123B3"/>
    <w:rsid w:val="00212D7B"/>
    <w:rsid w:val="002134DD"/>
    <w:rsid w:val="00214661"/>
    <w:rsid w:val="002159C9"/>
    <w:rsid w:val="002168B0"/>
    <w:rsid w:val="0021730F"/>
    <w:rsid w:val="00221648"/>
    <w:rsid w:val="002218F6"/>
    <w:rsid w:val="00221981"/>
    <w:rsid w:val="0022393A"/>
    <w:rsid w:val="00223E29"/>
    <w:rsid w:val="00226038"/>
    <w:rsid w:val="00226766"/>
    <w:rsid w:val="00226CE7"/>
    <w:rsid w:val="00227459"/>
    <w:rsid w:val="00227D1C"/>
    <w:rsid w:val="002304CB"/>
    <w:rsid w:val="00230910"/>
    <w:rsid w:val="00230DF8"/>
    <w:rsid w:val="00231347"/>
    <w:rsid w:val="00231B8B"/>
    <w:rsid w:val="00232609"/>
    <w:rsid w:val="00234026"/>
    <w:rsid w:val="00234360"/>
    <w:rsid w:val="0023583C"/>
    <w:rsid w:val="002360EB"/>
    <w:rsid w:val="0023792D"/>
    <w:rsid w:val="00237FCB"/>
    <w:rsid w:val="002410EE"/>
    <w:rsid w:val="00241118"/>
    <w:rsid w:val="00241D97"/>
    <w:rsid w:val="00244F6D"/>
    <w:rsid w:val="00245A40"/>
    <w:rsid w:val="00247169"/>
    <w:rsid w:val="00247673"/>
    <w:rsid w:val="0025010B"/>
    <w:rsid w:val="002512BA"/>
    <w:rsid w:val="00251831"/>
    <w:rsid w:val="00252A15"/>
    <w:rsid w:val="0025312E"/>
    <w:rsid w:val="00253A1F"/>
    <w:rsid w:val="002545A1"/>
    <w:rsid w:val="00256464"/>
    <w:rsid w:val="00256F9A"/>
    <w:rsid w:val="00260281"/>
    <w:rsid w:val="00262C08"/>
    <w:rsid w:val="00263C9E"/>
    <w:rsid w:val="00264149"/>
    <w:rsid w:val="0026453C"/>
    <w:rsid w:val="002648F9"/>
    <w:rsid w:val="00270284"/>
    <w:rsid w:val="002729A4"/>
    <w:rsid w:val="00272E35"/>
    <w:rsid w:val="0027307E"/>
    <w:rsid w:val="0027385F"/>
    <w:rsid w:val="002740DA"/>
    <w:rsid w:val="0028009B"/>
    <w:rsid w:val="002808B5"/>
    <w:rsid w:val="0028328D"/>
    <w:rsid w:val="00283667"/>
    <w:rsid w:val="002837AE"/>
    <w:rsid w:val="00287F98"/>
    <w:rsid w:val="0029026C"/>
    <w:rsid w:val="00292AB3"/>
    <w:rsid w:val="00293231"/>
    <w:rsid w:val="00293EE1"/>
    <w:rsid w:val="00293F2E"/>
    <w:rsid w:val="00294019"/>
    <w:rsid w:val="00294A48"/>
    <w:rsid w:val="00294F53"/>
    <w:rsid w:val="00295D87"/>
    <w:rsid w:val="00296619"/>
    <w:rsid w:val="002A06F2"/>
    <w:rsid w:val="002A09E5"/>
    <w:rsid w:val="002A0C54"/>
    <w:rsid w:val="002A10C0"/>
    <w:rsid w:val="002A319E"/>
    <w:rsid w:val="002A3C12"/>
    <w:rsid w:val="002A4A87"/>
    <w:rsid w:val="002A5BA2"/>
    <w:rsid w:val="002A6E9F"/>
    <w:rsid w:val="002A7EF5"/>
    <w:rsid w:val="002B190B"/>
    <w:rsid w:val="002B488B"/>
    <w:rsid w:val="002B5AF1"/>
    <w:rsid w:val="002B5EBD"/>
    <w:rsid w:val="002C067C"/>
    <w:rsid w:val="002C1A82"/>
    <w:rsid w:val="002C22BD"/>
    <w:rsid w:val="002C3ECB"/>
    <w:rsid w:val="002C42D0"/>
    <w:rsid w:val="002C43D6"/>
    <w:rsid w:val="002C4A6B"/>
    <w:rsid w:val="002C54EA"/>
    <w:rsid w:val="002C6435"/>
    <w:rsid w:val="002C6849"/>
    <w:rsid w:val="002D00E1"/>
    <w:rsid w:val="002D1794"/>
    <w:rsid w:val="002D204C"/>
    <w:rsid w:val="002D35C1"/>
    <w:rsid w:val="002D4513"/>
    <w:rsid w:val="002D4DFF"/>
    <w:rsid w:val="002D615B"/>
    <w:rsid w:val="002D64B1"/>
    <w:rsid w:val="002D738B"/>
    <w:rsid w:val="002E12AC"/>
    <w:rsid w:val="002E317F"/>
    <w:rsid w:val="002E3F7C"/>
    <w:rsid w:val="002E74D1"/>
    <w:rsid w:val="002E7736"/>
    <w:rsid w:val="002F054F"/>
    <w:rsid w:val="002F06BA"/>
    <w:rsid w:val="002F0D06"/>
    <w:rsid w:val="002F1ADC"/>
    <w:rsid w:val="002F3CFA"/>
    <w:rsid w:val="002F3E2E"/>
    <w:rsid w:val="002F45EF"/>
    <w:rsid w:val="003014D2"/>
    <w:rsid w:val="0030282B"/>
    <w:rsid w:val="00304060"/>
    <w:rsid w:val="00304154"/>
    <w:rsid w:val="00305280"/>
    <w:rsid w:val="00305E7D"/>
    <w:rsid w:val="00305F56"/>
    <w:rsid w:val="00307179"/>
    <w:rsid w:val="00312553"/>
    <w:rsid w:val="0031626C"/>
    <w:rsid w:val="00316B35"/>
    <w:rsid w:val="00316EA2"/>
    <w:rsid w:val="00317C40"/>
    <w:rsid w:val="00317C46"/>
    <w:rsid w:val="00317CEC"/>
    <w:rsid w:val="003207B1"/>
    <w:rsid w:val="00320820"/>
    <w:rsid w:val="003209AF"/>
    <w:rsid w:val="00321BAD"/>
    <w:rsid w:val="00321D6E"/>
    <w:rsid w:val="00322DEB"/>
    <w:rsid w:val="00322FEF"/>
    <w:rsid w:val="00323297"/>
    <w:rsid w:val="0032330C"/>
    <w:rsid w:val="0032348F"/>
    <w:rsid w:val="003236D4"/>
    <w:rsid w:val="003249AD"/>
    <w:rsid w:val="00324BBB"/>
    <w:rsid w:val="00325FC4"/>
    <w:rsid w:val="00327460"/>
    <w:rsid w:val="003301A6"/>
    <w:rsid w:val="0033032D"/>
    <w:rsid w:val="00331C45"/>
    <w:rsid w:val="00331F1F"/>
    <w:rsid w:val="0033290A"/>
    <w:rsid w:val="00332F13"/>
    <w:rsid w:val="0033570B"/>
    <w:rsid w:val="00336032"/>
    <w:rsid w:val="0033717C"/>
    <w:rsid w:val="0033744E"/>
    <w:rsid w:val="003423E7"/>
    <w:rsid w:val="00342EA5"/>
    <w:rsid w:val="00343B55"/>
    <w:rsid w:val="00344702"/>
    <w:rsid w:val="00344B7C"/>
    <w:rsid w:val="00344DE9"/>
    <w:rsid w:val="0034565D"/>
    <w:rsid w:val="00345DDE"/>
    <w:rsid w:val="003506E5"/>
    <w:rsid w:val="0035374B"/>
    <w:rsid w:val="00353A74"/>
    <w:rsid w:val="00353EBB"/>
    <w:rsid w:val="003542E6"/>
    <w:rsid w:val="003553FE"/>
    <w:rsid w:val="00357672"/>
    <w:rsid w:val="0036770C"/>
    <w:rsid w:val="0036792E"/>
    <w:rsid w:val="0037001A"/>
    <w:rsid w:val="00370BF4"/>
    <w:rsid w:val="003713AD"/>
    <w:rsid w:val="003728C0"/>
    <w:rsid w:val="0037350D"/>
    <w:rsid w:val="00375A96"/>
    <w:rsid w:val="003760C7"/>
    <w:rsid w:val="00376634"/>
    <w:rsid w:val="00377383"/>
    <w:rsid w:val="003808FB"/>
    <w:rsid w:val="00381616"/>
    <w:rsid w:val="00381FDE"/>
    <w:rsid w:val="00382580"/>
    <w:rsid w:val="003836DD"/>
    <w:rsid w:val="00383E22"/>
    <w:rsid w:val="003856A3"/>
    <w:rsid w:val="003875EC"/>
    <w:rsid w:val="00390587"/>
    <w:rsid w:val="00391FF5"/>
    <w:rsid w:val="00393122"/>
    <w:rsid w:val="00393E1D"/>
    <w:rsid w:val="00394356"/>
    <w:rsid w:val="003951FE"/>
    <w:rsid w:val="003A0CC1"/>
    <w:rsid w:val="003A0E17"/>
    <w:rsid w:val="003A1141"/>
    <w:rsid w:val="003A18AF"/>
    <w:rsid w:val="003A362D"/>
    <w:rsid w:val="003A3C4C"/>
    <w:rsid w:val="003A3DAC"/>
    <w:rsid w:val="003A4D13"/>
    <w:rsid w:val="003A4FC6"/>
    <w:rsid w:val="003A54F1"/>
    <w:rsid w:val="003A5FFB"/>
    <w:rsid w:val="003A79A9"/>
    <w:rsid w:val="003B02E8"/>
    <w:rsid w:val="003B0AD8"/>
    <w:rsid w:val="003B1148"/>
    <w:rsid w:val="003B196A"/>
    <w:rsid w:val="003B19FB"/>
    <w:rsid w:val="003B1EE7"/>
    <w:rsid w:val="003B1F8D"/>
    <w:rsid w:val="003B2983"/>
    <w:rsid w:val="003B51C1"/>
    <w:rsid w:val="003B51EE"/>
    <w:rsid w:val="003B6678"/>
    <w:rsid w:val="003B6BBB"/>
    <w:rsid w:val="003B7622"/>
    <w:rsid w:val="003C0332"/>
    <w:rsid w:val="003C03C9"/>
    <w:rsid w:val="003C1A1E"/>
    <w:rsid w:val="003C215E"/>
    <w:rsid w:val="003C50F9"/>
    <w:rsid w:val="003C59EF"/>
    <w:rsid w:val="003C667F"/>
    <w:rsid w:val="003C7BD8"/>
    <w:rsid w:val="003D01A5"/>
    <w:rsid w:val="003D13A1"/>
    <w:rsid w:val="003D36C0"/>
    <w:rsid w:val="003D3741"/>
    <w:rsid w:val="003D433E"/>
    <w:rsid w:val="003D4FBE"/>
    <w:rsid w:val="003D59AF"/>
    <w:rsid w:val="003D5FB3"/>
    <w:rsid w:val="003D6C7D"/>
    <w:rsid w:val="003D7667"/>
    <w:rsid w:val="003D7E01"/>
    <w:rsid w:val="003E1753"/>
    <w:rsid w:val="003E2105"/>
    <w:rsid w:val="003E60BE"/>
    <w:rsid w:val="003E699B"/>
    <w:rsid w:val="003E7758"/>
    <w:rsid w:val="003F1271"/>
    <w:rsid w:val="003F1591"/>
    <w:rsid w:val="003F3168"/>
    <w:rsid w:val="003F3698"/>
    <w:rsid w:val="003F4A42"/>
    <w:rsid w:val="003F4F39"/>
    <w:rsid w:val="003F54C9"/>
    <w:rsid w:val="003F5F04"/>
    <w:rsid w:val="003F5F1E"/>
    <w:rsid w:val="003F6E35"/>
    <w:rsid w:val="0040135C"/>
    <w:rsid w:val="00402E2C"/>
    <w:rsid w:val="00403C38"/>
    <w:rsid w:val="00404DCB"/>
    <w:rsid w:val="0040508F"/>
    <w:rsid w:val="004050D8"/>
    <w:rsid w:val="00405C34"/>
    <w:rsid w:val="004061CF"/>
    <w:rsid w:val="00406896"/>
    <w:rsid w:val="0041095F"/>
    <w:rsid w:val="00411FD4"/>
    <w:rsid w:val="0041254D"/>
    <w:rsid w:val="00413BAC"/>
    <w:rsid w:val="004143DB"/>
    <w:rsid w:val="004146E0"/>
    <w:rsid w:val="0041503C"/>
    <w:rsid w:val="0041537C"/>
    <w:rsid w:val="004155D0"/>
    <w:rsid w:val="00415E98"/>
    <w:rsid w:val="004213F2"/>
    <w:rsid w:val="004219B2"/>
    <w:rsid w:val="0042292D"/>
    <w:rsid w:val="0042310E"/>
    <w:rsid w:val="00423A87"/>
    <w:rsid w:val="00425808"/>
    <w:rsid w:val="00425E8A"/>
    <w:rsid w:val="00425F51"/>
    <w:rsid w:val="0042719A"/>
    <w:rsid w:val="00435225"/>
    <w:rsid w:val="00435B69"/>
    <w:rsid w:val="0044196D"/>
    <w:rsid w:val="004419CF"/>
    <w:rsid w:val="004432FE"/>
    <w:rsid w:val="0044341C"/>
    <w:rsid w:val="00444526"/>
    <w:rsid w:val="00444A9C"/>
    <w:rsid w:val="004509C7"/>
    <w:rsid w:val="004517F7"/>
    <w:rsid w:val="004521EB"/>
    <w:rsid w:val="00452AF5"/>
    <w:rsid w:val="00452B7C"/>
    <w:rsid w:val="00455666"/>
    <w:rsid w:val="00455904"/>
    <w:rsid w:val="0045678B"/>
    <w:rsid w:val="00456B61"/>
    <w:rsid w:val="0046075C"/>
    <w:rsid w:val="00460B4D"/>
    <w:rsid w:val="00463845"/>
    <w:rsid w:val="0046428F"/>
    <w:rsid w:val="00464D60"/>
    <w:rsid w:val="00465456"/>
    <w:rsid w:val="0046736C"/>
    <w:rsid w:val="00471333"/>
    <w:rsid w:val="0047281E"/>
    <w:rsid w:val="00472B9E"/>
    <w:rsid w:val="004742E0"/>
    <w:rsid w:val="0047477A"/>
    <w:rsid w:val="00474E8E"/>
    <w:rsid w:val="00480557"/>
    <w:rsid w:val="00481E9E"/>
    <w:rsid w:val="00482B88"/>
    <w:rsid w:val="0048364C"/>
    <w:rsid w:val="00484A60"/>
    <w:rsid w:val="00485563"/>
    <w:rsid w:val="00487EB7"/>
    <w:rsid w:val="00490470"/>
    <w:rsid w:val="00490850"/>
    <w:rsid w:val="00490FDE"/>
    <w:rsid w:val="00491401"/>
    <w:rsid w:val="00491B7E"/>
    <w:rsid w:val="00493F03"/>
    <w:rsid w:val="00494FAC"/>
    <w:rsid w:val="00496DD4"/>
    <w:rsid w:val="00497F5B"/>
    <w:rsid w:val="004A2793"/>
    <w:rsid w:val="004A33B6"/>
    <w:rsid w:val="004A49CB"/>
    <w:rsid w:val="004A5CE3"/>
    <w:rsid w:val="004A6082"/>
    <w:rsid w:val="004A632E"/>
    <w:rsid w:val="004A6911"/>
    <w:rsid w:val="004A790E"/>
    <w:rsid w:val="004B03AD"/>
    <w:rsid w:val="004B04F9"/>
    <w:rsid w:val="004B0A8A"/>
    <w:rsid w:val="004B0C66"/>
    <w:rsid w:val="004B0F4E"/>
    <w:rsid w:val="004B1308"/>
    <w:rsid w:val="004B13FC"/>
    <w:rsid w:val="004B1C67"/>
    <w:rsid w:val="004B1D0A"/>
    <w:rsid w:val="004B235F"/>
    <w:rsid w:val="004B2A24"/>
    <w:rsid w:val="004B32CB"/>
    <w:rsid w:val="004B347A"/>
    <w:rsid w:val="004B3D8C"/>
    <w:rsid w:val="004B476D"/>
    <w:rsid w:val="004B5346"/>
    <w:rsid w:val="004B5385"/>
    <w:rsid w:val="004B6DB9"/>
    <w:rsid w:val="004C00C2"/>
    <w:rsid w:val="004C2900"/>
    <w:rsid w:val="004C30DD"/>
    <w:rsid w:val="004C3A08"/>
    <w:rsid w:val="004C45FB"/>
    <w:rsid w:val="004C5294"/>
    <w:rsid w:val="004C548B"/>
    <w:rsid w:val="004C598F"/>
    <w:rsid w:val="004C7E7E"/>
    <w:rsid w:val="004D2011"/>
    <w:rsid w:val="004D284A"/>
    <w:rsid w:val="004D53AC"/>
    <w:rsid w:val="004D5AD3"/>
    <w:rsid w:val="004D76A1"/>
    <w:rsid w:val="004D7E78"/>
    <w:rsid w:val="004E0985"/>
    <w:rsid w:val="004E1435"/>
    <w:rsid w:val="004E1BA4"/>
    <w:rsid w:val="004E1C0E"/>
    <w:rsid w:val="004E1E7A"/>
    <w:rsid w:val="004E20A8"/>
    <w:rsid w:val="004E46F0"/>
    <w:rsid w:val="004E4F16"/>
    <w:rsid w:val="004E4F1D"/>
    <w:rsid w:val="004E6827"/>
    <w:rsid w:val="004F0723"/>
    <w:rsid w:val="004F1A62"/>
    <w:rsid w:val="004F208E"/>
    <w:rsid w:val="004F331C"/>
    <w:rsid w:val="004F382B"/>
    <w:rsid w:val="004F3F13"/>
    <w:rsid w:val="004F41D4"/>
    <w:rsid w:val="004F4399"/>
    <w:rsid w:val="004F4A32"/>
    <w:rsid w:val="004F4C8E"/>
    <w:rsid w:val="004F5897"/>
    <w:rsid w:val="004F68B9"/>
    <w:rsid w:val="004F6BA1"/>
    <w:rsid w:val="004F6CD6"/>
    <w:rsid w:val="004F6DBF"/>
    <w:rsid w:val="004F6ECB"/>
    <w:rsid w:val="004F6F24"/>
    <w:rsid w:val="004F7CAB"/>
    <w:rsid w:val="004F7DC1"/>
    <w:rsid w:val="004F7EE6"/>
    <w:rsid w:val="0050062A"/>
    <w:rsid w:val="00500D99"/>
    <w:rsid w:val="00502C94"/>
    <w:rsid w:val="00503077"/>
    <w:rsid w:val="00503892"/>
    <w:rsid w:val="005041ED"/>
    <w:rsid w:val="00504D51"/>
    <w:rsid w:val="00505668"/>
    <w:rsid w:val="00506DDB"/>
    <w:rsid w:val="00506F95"/>
    <w:rsid w:val="00507BE1"/>
    <w:rsid w:val="00510D0B"/>
    <w:rsid w:val="00510F3F"/>
    <w:rsid w:val="005111C3"/>
    <w:rsid w:val="005119A0"/>
    <w:rsid w:val="00512231"/>
    <w:rsid w:val="0051233B"/>
    <w:rsid w:val="005124A2"/>
    <w:rsid w:val="0051533F"/>
    <w:rsid w:val="00517363"/>
    <w:rsid w:val="00517C9F"/>
    <w:rsid w:val="00520002"/>
    <w:rsid w:val="0052089E"/>
    <w:rsid w:val="00521213"/>
    <w:rsid w:val="00521F18"/>
    <w:rsid w:val="0052234F"/>
    <w:rsid w:val="00524CBD"/>
    <w:rsid w:val="00524E5E"/>
    <w:rsid w:val="00525F66"/>
    <w:rsid w:val="005260C0"/>
    <w:rsid w:val="005311D3"/>
    <w:rsid w:val="00531785"/>
    <w:rsid w:val="0053221F"/>
    <w:rsid w:val="005322F1"/>
    <w:rsid w:val="005335C5"/>
    <w:rsid w:val="005340DB"/>
    <w:rsid w:val="00534D6D"/>
    <w:rsid w:val="00537DED"/>
    <w:rsid w:val="00540B4C"/>
    <w:rsid w:val="00540BC1"/>
    <w:rsid w:val="00543366"/>
    <w:rsid w:val="00544A64"/>
    <w:rsid w:val="00545783"/>
    <w:rsid w:val="0054590E"/>
    <w:rsid w:val="00546A12"/>
    <w:rsid w:val="005507C2"/>
    <w:rsid w:val="00550D6E"/>
    <w:rsid w:val="0055276B"/>
    <w:rsid w:val="00552D18"/>
    <w:rsid w:val="00554A60"/>
    <w:rsid w:val="005560B5"/>
    <w:rsid w:val="00556648"/>
    <w:rsid w:val="0056269E"/>
    <w:rsid w:val="0056356C"/>
    <w:rsid w:val="005643B3"/>
    <w:rsid w:val="00564F6A"/>
    <w:rsid w:val="00565256"/>
    <w:rsid w:val="00565C1F"/>
    <w:rsid w:val="00565C83"/>
    <w:rsid w:val="00565F1C"/>
    <w:rsid w:val="00566A24"/>
    <w:rsid w:val="0057035C"/>
    <w:rsid w:val="00570396"/>
    <w:rsid w:val="0057088B"/>
    <w:rsid w:val="00570B97"/>
    <w:rsid w:val="00572199"/>
    <w:rsid w:val="00572FA1"/>
    <w:rsid w:val="00573780"/>
    <w:rsid w:val="0057704A"/>
    <w:rsid w:val="0057709F"/>
    <w:rsid w:val="005779E0"/>
    <w:rsid w:val="00577DCA"/>
    <w:rsid w:val="0058039A"/>
    <w:rsid w:val="00581C3A"/>
    <w:rsid w:val="00582AB0"/>
    <w:rsid w:val="00583AFF"/>
    <w:rsid w:val="00584424"/>
    <w:rsid w:val="005845A2"/>
    <w:rsid w:val="00584CAA"/>
    <w:rsid w:val="00585005"/>
    <w:rsid w:val="0058781E"/>
    <w:rsid w:val="00587A9A"/>
    <w:rsid w:val="00587FF9"/>
    <w:rsid w:val="0059242D"/>
    <w:rsid w:val="005936B1"/>
    <w:rsid w:val="00596D47"/>
    <w:rsid w:val="00596DF1"/>
    <w:rsid w:val="00597913"/>
    <w:rsid w:val="00597EC8"/>
    <w:rsid w:val="005A2910"/>
    <w:rsid w:val="005A3677"/>
    <w:rsid w:val="005A4797"/>
    <w:rsid w:val="005A499E"/>
    <w:rsid w:val="005A65BF"/>
    <w:rsid w:val="005A6891"/>
    <w:rsid w:val="005A72A0"/>
    <w:rsid w:val="005B07E3"/>
    <w:rsid w:val="005B13A2"/>
    <w:rsid w:val="005B1731"/>
    <w:rsid w:val="005B2C0E"/>
    <w:rsid w:val="005B57F1"/>
    <w:rsid w:val="005B7171"/>
    <w:rsid w:val="005B7FB1"/>
    <w:rsid w:val="005C1B00"/>
    <w:rsid w:val="005C1B6C"/>
    <w:rsid w:val="005C1EC3"/>
    <w:rsid w:val="005C277A"/>
    <w:rsid w:val="005C3AE1"/>
    <w:rsid w:val="005C4FD4"/>
    <w:rsid w:val="005C528F"/>
    <w:rsid w:val="005C56A3"/>
    <w:rsid w:val="005C5A0C"/>
    <w:rsid w:val="005C7A0F"/>
    <w:rsid w:val="005D038E"/>
    <w:rsid w:val="005D104B"/>
    <w:rsid w:val="005D1C70"/>
    <w:rsid w:val="005D3074"/>
    <w:rsid w:val="005D32D6"/>
    <w:rsid w:val="005D496D"/>
    <w:rsid w:val="005D4FF1"/>
    <w:rsid w:val="005D58E7"/>
    <w:rsid w:val="005D5B9F"/>
    <w:rsid w:val="005D5D7E"/>
    <w:rsid w:val="005D6219"/>
    <w:rsid w:val="005D7B3D"/>
    <w:rsid w:val="005E023B"/>
    <w:rsid w:val="005E0740"/>
    <w:rsid w:val="005E0F98"/>
    <w:rsid w:val="005E2116"/>
    <w:rsid w:val="005E45DA"/>
    <w:rsid w:val="005E63CF"/>
    <w:rsid w:val="005E6A08"/>
    <w:rsid w:val="005E7FFE"/>
    <w:rsid w:val="005F02D6"/>
    <w:rsid w:val="005F371F"/>
    <w:rsid w:val="005F38A5"/>
    <w:rsid w:val="005F5185"/>
    <w:rsid w:val="005F64E6"/>
    <w:rsid w:val="005F7824"/>
    <w:rsid w:val="00600C8D"/>
    <w:rsid w:val="00600CDE"/>
    <w:rsid w:val="00600E6C"/>
    <w:rsid w:val="006011B3"/>
    <w:rsid w:val="00602DAA"/>
    <w:rsid w:val="00604EC4"/>
    <w:rsid w:val="00604FB7"/>
    <w:rsid w:val="006068ED"/>
    <w:rsid w:val="006078B0"/>
    <w:rsid w:val="00610958"/>
    <w:rsid w:val="00611724"/>
    <w:rsid w:val="006121C7"/>
    <w:rsid w:val="00612A62"/>
    <w:rsid w:val="00613347"/>
    <w:rsid w:val="00613922"/>
    <w:rsid w:val="006142BF"/>
    <w:rsid w:val="00614693"/>
    <w:rsid w:val="00617379"/>
    <w:rsid w:val="0061752A"/>
    <w:rsid w:val="00624D6D"/>
    <w:rsid w:val="00625A46"/>
    <w:rsid w:val="00625EE3"/>
    <w:rsid w:val="006273CE"/>
    <w:rsid w:val="00630EA5"/>
    <w:rsid w:val="006330E9"/>
    <w:rsid w:val="00634635"/>
    <w:rsid w:val="00634D5A"/>
    <w:rsid w:val="006353AD"/>
    <w:rsid w:val="00637FD3"/>
    <w:rsid w:val="006404A2"/>
    <w:rsid w:val="00640900"/>
    <w:rsid w:val="00640AE2"/>
    <w:rsid w:val="00640B38"/>
    <w:rsid w:val="00642277"/>
    <w:rsid w:val="00643E27"/>
    <w:rsid w:val="00652CF2"/>
    <w:rsid w:val="00655302"/>
    <w:rsid w:val="00655950"/>
    <w:rsid w:val="006606A3"/>
    <w:rsid w:val="00660834"/>
    <w:rsid w:val="006612E6"/>
    <w:rsid w:val="00661383"/>
    <w:rsid w:val="006617CB"/>
    <w:rsid w:val="00661CB6"/>
    <w:rsid w:val="00663983"/>
    <w:rsid w:val="006644B4"/>
    <w:rsid w:val="00666172"/>
    <w:rsid w:val="0066685B"/>
    <w:rsid w:val="006675E6"/>
    <w:rsid w:val="006678D8"/>
    <w:rsid w:val="00670AD6"/>
    <w:rsid w:val="0067187B"/>
    <w:rsid w:val="00671D8B"/>
    <w:rsid w:val="0067382C"/>
    <w:rsid w:val="00675985"/>
    <w:rsid w:val="00675AB1"/>
    <w:rsid w:val="00676FC0"/>
    <w:rsid w:val="00677488"/>
    <w:rsid w:val="00680450"/>
    <w:rsid w:val="00681535"/>
    <w:rsid w:val="006819F0"/>
    <w:rsid w:val="006838FB"/>
    <w:rsid w:val="00683E70"/>
    <w:rsid w:val="00685631"/>
    <w:rsid w:val="0068689C"/>
    <w:rsid w:val="006868AD"/>
    <w:rsid w:val="00691EAC"/>
    <w:rsid w:val="00692160"/>
    <w:rsid w:val="00694A07"/>
    <w:rsid w:val="00694F6A"/>
    <w:rsid w:val="00695F9F"/>
    <w:rsid w:val="0069698A"/>
    <w:rsid w:val="006970D9"/>
    <w:rsid w:val="00697759"/>
    <w:rsid w:val="006A0C6B"/>
    <w:rsid w:val="006A1883"/>
    <w:rsid w:val="006A2102"/>
    <w:rsid w:val="006A2479"/>
    <w:rsid w:val="006A25E4"/>
    <w:rsid w:val="006A3789"/>
    <w:rsid w:val="006A407A"/>
    <w:rsid w:val="006A4473"/>
    <w:rsid w:val="006A4E1D"/>
    <w:rsid w:val="006A508A"/>
    <w:rsid w:val="006A6814"/>
    <w:rsid w:val="006A6952"/>
    <w:rsid w:val="006B0776"/>
    <w:rsid w:val="006B289F"/>
    <w:rsid w:val="006B36AF"/>
    <w:rsid w:val="006B54A3"/>
    <w:rsid w:val="006B5E97"/>
    <w:rsid w:val="006B66B1"/>
    <w:rsid w:val="006C00AC"/>
    <w:rsid w:val="006C0854"/>
    <w:rsid w:val="006C0CB7"/>
    <w:rsid w:val="006C3FD6"/>
    <w:rsid w:val="006C46B9"/>
    <w:rsid w:val="006C521B"/>
    <w:rsid w:val="006C5FE7"/>
    <w:rsid w:val="006D0897"/>
    <w:rsid w:val="006D1156"/>
    <w:rsid w:val="006D1234"/>
    <w:rsid w:val="006D1504"/>
    <w:rsid w:val="006D2E73"/>
    <w:rsid w:val="006D48EE"/>
    <w:rsid w:val="006D57F0"/>
    <w:rsid w:val="006D6CEC"/>
    <w:rsid w:val="006D76D0"/>
    <w:rsid w:val="006D7E16"/>
    <w:rsid w:val="006E1D78"/>
    <w:rsid w:val="006E275C"/>
    <w:rsid w:val="006E3357"/>
    <w:rsid w:val="006E492F"/>
    <w:rsid w:val="006E495A"/>
    <w:rsid w:val="006E640F"/>
    <w:rsid w:val="006F1A55"/>
    <w:rsid w:val="006F3A8A"/>
    <w:rsid w:val="006F4E3A"/>
    <w:rsid w:val="006F6145"/>
    <w:rsid w:val="006F6D84"/>
    <w:rsid w:val="007011B9"/>
    <w:rsid w:val="007014C7"/>
    <w:rsid w:val="00702936"/>
    <w:rsid w:val="00703571"/>
    <w:rsid w:val="007041BC"/>
    <w:rsid w:val="007042B7"/>
    <w:rsid w:val="007067F5"/>
    <w:rsid w:val="00706B8F"/>
    <w:rsid w:val="00713881"/>
    <w:rsid w:val="007149E7"/>
    <w:rsid w:val="00714DFB"/>
    <w:rsid w:val="00715388"/>
    <w:rsid w:val="00715B52"/>
    <w:rsid w:val="007168ED"/>
    <w:rsid w:val="007172D8"/>
    <w:rsid w:val="00717388"/>
    <w:rsid w:val="00717B31"/>
    <w:rsid w:val="00720753"/>
    <w:rsid w:val="00723913"/>
    <w:rsid w:val="00723BCA"/>
    <w:rsid w:val="00723D36"/>
    <w:rsid w:val="0072534D"/>
    <w:rsid w:val="00726CD5"/>
    <w:rsid w:val="007323A3"/>
    <w:rsid w:val="00733040"/>
    <w:rsid w:val="0073692B"/>
    <w:rsid w:val="00737B14"/>
    <w:rsid w:val="00740E71"/>
    <w:rsid w:val="0074130B"/>
    <w:rsid w:val="00741A50"/>
    <w:rsid w:val="00741D19"/>
    <w:rsid w:val="00741F6C"/>
    <w:rsid w:val="00744E1B"/>
    <w:rsid w:val="0074593D"/>
    <w:rsid w:val="00745941"/>
    <w:rsid w:val="0074596C"/>
    <w:rsid w:val="0074705E"/>
    <w:rsid w:val="0075022D"/>
    <w:rsid w:val="0075198A"/>
    <w:rsid w:val="00751D0E"/>
    <w:rsid w:val="00751DE1"/>
    <w:rsid w:val="007532AD"/>
    <w:rsid w:val="00754BD1"/>
    <w:rsid w:val="00754F76"/>
    <w:rsid w:val="00755CAB"/>
    <w:rsid w:val="00756222"/>
    <w:rsid w:val="007568A5"/>
    <w:rsid w:val="00756AA4"/>
    <w:rsid w:val="00757695"/>
    <w:rsid w:val="0075786C"/>
    <w:rsid w:val="00760FA3"/>
    <w:rsid w:val="007637AD"/>
    <w:rsid w:val="00763E1A"/>
    <w:rsid w:val="007646C3"/>
    <w:rsid w:val="007652F9"/>
    <w:rsid w:val="007658DF"/>
    <w:rsid w:val="00765943"/>
    <w:rsid w:val="0076625D"/>
    <w:rsid w:val="00767484"/>
    <w:rsid w:val="00773992"/>
    <w:rsid w:val="00773A34"/>
    <w:rsid w:val="007742DA"/>
    <w:rsid w:val="00776296"/>
    <w:rsid w:val="00776601"/>
    <w:rsid w:val="00777950"/>
    <w:rsid w:val="00782356"/>
    <w:rsid w:val="0078249C"/>
    <w:rsid w:val="007825A6"/>
    <w:rsid w:val="00782DC1"/>
    <w:rsid w:val="0078303D"/>
    <w:rsid w:val="0078333E"/>
    <w:rsid w:val="007834C5"/>
    <w:rsid w:val="00785948"/>
    <w:rsid w:val="00786B8E"/>
    <w:rsid w:val="00786DAD"/>
    <w:rsid w:val="007873CE"/>
    <w:rsid w:val="00787FC9"/>
    <w:rsid w:val="0079040F"/>
    <w:rsid w:val="007921A1"/>
    <w:rsid w:val="0079313F"/>
    <w:rsid w:val="00793223"/>
    <w:rsid w:val="0079394B"/>
    <w:rsid w:val="007943D0"/>
    <w:rsid w:val="00797CC6"/>
    <w:rsid w:val="007A064E"/>
    <w:rsid w:val="007A13D6"/>
    <w:rsid w:val="007A1C2E"/>
    <w:rsid w:val="007A2205"/>
    <w:rsid w:val="007A27BA"/>
    <w:rsid w:val="007A3AF4"/>
    <w:rsid w:val="007A424F"/>
    <w:rsid w:val="007A45B0"/>
    <w:rsid w:val="007A6030"/>
    <w:rsid w:val="007A624C"/>
    <w:rsid w:val="007A6984"/>
    <w:rsid w:val="007A6B60"/>
    <w:rsid w:val="007A6E95"/>
    <w:rsid w:val="007A7F9E"/>
    <w:rsid w:val="007A7FDB"/>
    <w:rsid w:val="007B0CDA"/>
    <w:rsid w:val="007B2A73"/>
    <w:rsid w:val="007B2FBD"/>
    <w:rsid w:val="007B3BFB"/>
    <w:rsid w:val="007B6C33"/>
    <w:rsid w:val="007B7D3B"/>
    <w:rsid w:val="007C443C"/>
    <w:rsid w:val="007C4E45"/>
    <w:rsid w:val="007C64A1"/>
    <w:rsid w:val="007C64F7"/>
    <w:rsid w:val="007C724F"/>
    <w:rsid w:val="007D113A"/>
    <w:rsid w:val="007D16E5"/>
    <w:rsid w:val="007D3EFD"/>
    <w:rsid w:val="007D3F4F"/>
    <w:rsid w:val="007D4023"/>
    <w:rsid w:val="007D5ACA"/>
    <w:rsid w:val="007D65BB"/>
    <w:rsid w:val="007D65BC"/>
    <w:rsid w:val="007E0350"/>
    <w:rsid w:val="007E197F"/>
    <w:rsid w:val="007E1A3E"/>
    <w:rsid w:val="007E3903"/>
    <w:rsid w:val="007E43AC"/>
    <w:rsid w:val="007E6B29"/>
    <w:rsid w:val="007E7884"/>
    <w:rsid w:val="007F161F"/>
    <w:rsid w:val="007F2833"/>
    <w:rsid w:val="007F2920"/>
    <w:rsid w:val="007F3FD0"/>
    <w:rsid w:val="007F4105"/>
    <w:rsid w:val="007F68CA"/>
    <w:rsid w:val="007F77A5"/>
    <w:rsid w:val="007F799E"/>
    <w:rsid w:val="007F7A72"/>
    <w:rsid w:val="007F7C6E"/>
    <w:rsid w:val="00801729"/>
    <w:rsid w:val="0080269C"/>
    <w:rsid w:val="00802903"/>
    <w:rsid w:val="0080352B"/>
    <w:rsid w:val="00803DA9"/>
    <w:rsid w:val="00803E52"/>
    <w:rsid w:val="00803E64"/>
    <w:rsid w:val="00804BB5"/>
    <w:rsid w:val="00805163"/>
    <w:rsid w:val="00805413"/>
    <w:rsid w:val="00805A1C"/>
    <w:rsid w:val="00805A50"/>
    <w:rsid w:val="00806ACF"/>
    <w:rsid w:val="00806D4C"/>
    <w:rsid w:val="00807573"/>
    <w:rsid w:val="00810E55"/>
    <w:rsid w:val="0081161C"/>
    <w:rsid w:val="00811DB3"/>
    <w:rsid w:val="00813C1A"/>
    <w:rsid w:val="00814243"/>
    <w:rsid w:val="008150CD"/>
    <w:rsid w:val="00815717"/>
    <w:rsid w:val="00815D35"/>
    <w:rsid w:val="0081600C"/>
    <w:rsid w:val="00816983"/>
    <w:rsid w:val="0081770E"/>
    <w:rsid w:val="008201FE"/>
    <w:rsid w:val="008203E8"/>
    <w:rsid w:val="00820517"/>
    <w:rsid w:val="0082143C"/>
    <w:rsid w:val="00822A3A"/>
    <w:rsid w:val="0082363F"/>
    <w:rsid w:val="008273D0"/>
    <w:rsid w:val="00831067"/>
    <w:rsid w:val="008322BD"/>
    <w:rsid w:val="008335B0"/>
    <w:rsid w:val="00833BCA"/>
    <w:rsid w:val="00834902"/>
    <w:rsid w:val="008353A5"/>
    <w:rsid w:val="00835411"/>
    <w:rsid w:val="0083596D"/>
    <w:rsid w:val="00835A2A"/>
    <w:rsid w:val="00836C6D"/>
    <w:rsid w:val="00841126"/>
    <w:rsid w:val="00842429"/>
    <w:rsid w:val="00842D41"/>
    <w:rsid w:val="0084395C"/>
    <w:rsid w:val="00843F3B"/>
    <w:rsid w:val="0084466B"/>
    <w:rsid w:val="00844DF6"/>
    <w:rsid w:val="008468A6"/>
    <w:rsid w:val="00846B77"/>
    <w:rsid w:val="008474A8"/>
    <w:rsid w:val="00847D51"/>
    <w:rsid w:val="00850844"/>
    <w:rsid w:val="00850A11"/>
    <w:rsid w:val="008510FE"/>
    <w:rsid w:val="00851107"/>
    <w:rsid w:val="00851164"/>
    <w:rsid w:val="00852634"/>
    <w:rsid w:val="00852F61"/>
    <w:rsid w:val="00854491"/>
    <w:rsid w:val="00856048"/>
    <w:rsid w:val="008577FA"/>
    <w:rsid w:val="00861331"/>
    <w:rsid w:val="0086157A"/>
    <w:rsid w:val="00861F01"/>
    <w:rsid w:val="0086298A"/>
    <w:rsid w:val="00862CFE"/>
    <w:rsid w:val="00863A57"/>
    <w:rsid w:val="008642D6"/>
    <w:rsid w:val="00864BF3"/>
    <w:rsid w:val="008656A3"/>
    <w:rsid w:val="008659FC"/>
    <w:rsid w:val="00865AEF"/>
    <w:rsid w:val="0086654E"/>
    <w:rsid w:val="00866D43"/>
    <w:rsid w:val="0086729F"/>
    <w:rsid w:val="008705B7"/>
    <w:rsid w:val="00872443"/>
    <w:rsid w:val="00873F01"/>
    <w:rsid w:val="00874C1B"/>
    <w:rsid w:val="00874F9E"/>
    <w:rsid w:val="008758EA"/>
    <w:rsid w:val="00875F2B"/>
    <w:rsid w:val="0087662D"/>
    <w:rsid w:val="00877A9D"/>
    <w:rsid w:val="00880874"/>
    <w:rsid w:val="00881BCD"/>
    <w:rsid w:val="008824CB"/>
    <w:rsid w:val="008846F7"/>
    <w:rsid w:val="008858A0"/>
    <w:rsid w:val="00885E1E"/>
    <w:rsid w:val="0088673F"/>
    <w:rsid w:val="00886FF8"/>
    <w:rsid w:val="0088772B"/>
    <w:rsid w:val="00890CEE"/>
    <w:rsid w:val="0089139B"/>
    <w:rsid w:val="008918E2"/>
    <w:rsid w:val="00893987"/>
    <w:rsid w:val="00893CD0"/>
    <w:rsid w:val="0089461D"/>
    <w:rsid w:val="0089490E"/>
    <w:rsid w:val="00894D35"/>
    <w:rsid w:val="00896638"/>
    <w:rsid w:val="0089680E"/>
    <w:rsid w:val="00897E76"/>
    <w:rsid w:val="008A09BD"/>
    <w:rsid w:val="008A1082"/>
    <w:rsid w:val="008A170B"/>
    <w:rsid w:val="008A1CE9"/>
    <w:rsid w:val="008A3361"/>
    <w:rsid w:val="008A6961"/>
    <w:rsid w:val="008A6D92"/>
    <w:rsid w:val="008A76D9"/>
    <w:rsid w:val="008A78ED"/>
    <w:rsid w:val="008A7CAA"/>
    <w:rsid w:val="008B2CD4"/>
    <w:rsid w:val="008B65D4"/>
    <w:rsid w:val="008B72B4"/>
    <w:rsid w:val="008B746E"/>
    <w:rsid w:val="008B7FA1"/>
    <w:rsid w:val="008C03FE"/>
    <w:rsid w:val="008C0834"/>
    <w:rsid w:val="008C0D27"/>
    <w:rsid w:val="008C1DAC"/>
    <w:rsid w:val="008C227D"/>
    <w:rsid w:val="008C283D"/>
    <w:rsid w:val="008C3FCC"/>
    <w:rsid w:val="008C408F"/>
    <w:rsid w:val="008C5EFC"/>
    <w:rsid w:val="008C7258"/>
    <w:rsid w:val="008D0176"/>
    <w:rsid w:val="008D051C"/>
    <w:rsid w:val="008D05BA"/>
    <w:rsid w:val="008D1F95"/>
    <w:rsid w:val="008D4184"/>
    <w:rsid w:val="008D4A93"/>
    <w:rsid w:val="008D6393"/>
    <w:rsid w:val="008D6CAD"/>
    <w:rsid w:val="008E0212"/>
    <w:rsid w:val="008E1474"/>
    <w:rsid w:val="008E32C4"/>
    <w:rsid w:val="008E6ED1"/>
    <w:rsid w:val="008E79AA"/>
    <w:rsid w:val="008E79BF"/>
    <w:rsid w:val="008E7C85"/>
    <w:rsid w:val="008E7D06"/>
    <w:rsid w:val="008F0D51"/>
    <w:rsid w:val="008F19E1"/>
    <w:rsid w:val="008F1B50"/>
    <w:rsid w:val="008F219B"/>
    <w:rsid w:val="008F2280"/>
    <w:rsid w:val="008F2297"/>
    <w:rsid w:val="008F29F3"/>
    <w:rsid w:val="008F44BD"/>
    <w:rsid w:val="008F4B57"/>
    <w:rsid w:val="008F659B"/>
    <w:rsid w:val="008F6CE8"/>
    <w:rsid w:val="00900146"/>
    <w:rsid w:val="00901193"/>
    <w:rsid w:val="00901CC4"/>
    <w:rsid w:val="00901E52"/>
    <w:rsid w:val="00902FCF"/>
    <w:rsid w:val="00904291"/>
    <w:rsid w:val="009045AA"/>
    <w:rsid w:val="009048FF"/>
    <w:rsid w:val="00904DA6"/>
    <w:rsid w:val="00904EBC"/>
    <w:rsid w:val="00904FD8"/>
    <w:rsid w:val="009050F1"/>
    <w:rsid w:val="009051CF"/>
    <w:rsid w:val="009072A6"/>
    <w:rsid w:val="00907FEB"/>
    <w:rsid w:val="00911E8B"/>
    <w:rsid w:val="009128C2"/>
    <w:rsid w:val="0091319D"/>
    <w:rsid w:val="0091561E"/>
    <w:rsid w:val="00915727"/>
    <w:rsid w:val="0091595B"/>
    <w:rsid w:val="00920444"/>
    <w:rsid w:val="009217D0"/>
    <w:rsid w:val="00922D59"/>
    <w:rsid w:val="009254FD"/>
    <w:rsid w:val="0092615A"/>
    <w:rsid w:val="009261D4"/>
    <w:rsid w:val="009301EC"/>
    <w:rsid w:val="00930FED"/>
    <w:rsid w:val="009321DB"/>
    <w:rsid w:val="00932442"/>
    <w:rsid w:val="00933C2C"/>
    <w:rsid w:val="00933FAB"/>
    <w:rsid w:val="009348C7"/>
    <w:rsid w:val="00934B67"/>
    <w:rsid w:val="00934E7F"/>
    <w:rsid w:val="00935A57"/>
    <w:rsid w:val="009362E7"/>
    <w:rsid w:val="0093682F"/>
    <w:rsid w:val="00941EF6"/>
    <w:rsid w:val="00943E95"/>
    <w:rsid w:val="009442BF"/>
    <w:rsid w:val="00944C52"/>
    <w:rsid w:val="0094608D"/>
    <w:rsid w:val="0094632C"/>
    <w:rsid w:val="0094686C"/>
    <w:rsid w:val="0094707E"/>
    <w:rsid w:val="00947424"/>
    <w:rsid w:val="00950679"/>
    <w:rsid w:val="00952484"/>
    <w:rsid w:val="009532AC"/>
    <w:rsid w:val="009564C6"/>
    <w:rsid w:val="0095661F"/>
    <w:rsid w:val="0096003D"/>
    <w:rsid w:val="00960514"/>
    <w:rsid w:val="0096054F"/>
    <w:rsid w:val="0096071F"/>
    <w:rsid w:val="00962A3D"/>
    <w:rsid w:val="009658F6"/>
    <w:rsid w:val="00966890"/>
    <w:rsid w:val="00966D3C"/>
    <w:rsid w:val="00966E26"/>
    <w:rsid w:val="00970F05"/>
    <w:rsid w:val="009710E0"/>
    <w:rsid w:val="00971E7D"/>
    <w:rsid w:val="009732C6"/>
    <w:rsid w:val="00975183"/>
    <w:rsid w:val="00975CFB"/>
    <w:rsid w:val="00977336"/>
    <w:rsid w:val="00977B47"/>
    <w:rsid w:val="0098057F"/>
    <w:rsid w:val="00983C69"/>
    <w:rsid w:val="00984659"/>
    <w:rsid w:val="00984F6F"/>
    <w:rsid w:val="00985738"/>
    <w:rsid w:val="00985B8B"/>
    <w:rsid w:val="00985C27"/>
    <w:rsid w:val="0098741C"/>
    <w:rsid w:val="0098758C"/>
    <w:rsid w:val="00993243"/>
    <w:rsid w:val="00993E6B"/>
    <w:rsid w:val="0099457B"/>
    <w:rsid w:val="00995377"/>
    <w:rsid w:val="009953BE"/>
    <w:rsid w:val="00995B41"/>
    <w:rsid w:val="00997689"/>
    <w:rsid w:val="009A08CE"/>
    <w:rsid w:val="009A253E"/>
    <w:rsid w:val="009A2680"/>
    <w:rsid w:val="009A3618"/>
    <w:rsid w:val="009A3636"/>
    <w:rsid w:val="009A51EE"/>
    <w:rsid w:val="009A5C44"/>
    <w:rsid w:val="009A6C50"/>
    <w:rsid w:val="009A7758"/>
    <w:rsid w:val="009B2CCE"/>
    <w:rsid w:val="009B32F0"/>
    <w:rsid w:val="009B331B"/>
    <w:rsid w:val="009B39C4"/>
    <w:rsid w:val="009B51A9"/>
    <w:rsid w:val="009B5FA6"/>
    <w:rsid w:val="009B6B51"/>
    <w:rsid w:val="009C3A09"/>
    <w:rsid w:val="009C4012"/>
    <w:rsid w:val="009C47E6"/>
    <w:rsid w:val="009C6276"/>
    <w:rsid w:val="009C6C61"/>
    <w:rsid w:val="009C76FF"/>
    <w:rsid w:val="009C7B23"/>
    <w:rsid w:val="009D03ED"/>
    <w:rsid w:val="009D0BCE"/>
    <w:rsid w:val="009D16B6"/>
    <w:rsid w:val="009D24CA"/>
    <w:rsid w:val="009D2A92"/>
    <w:rsid w:val="009D32EB"/>
    <w:rsid w:val="009D382D"/>
    <w:rsid w:val="009D47E3"/>
    <w:rsid w:val="009D4FA8"/>
    <w:rsid w:val="009D57FA"/>
    <w:rsid w:val="009D6EC3"/>
    <w:rsid w:val="009E04DA"/>
    <w:rsid w:val="009E169E"/>
    <w:rsid w:val="009E1B84"/>
    <w:rsid w:val="009E36F0"/>
    <w:rsid w:val="009E6B32"/>
    <w:rsid w:val="009E6BB4"/>
    <w:rsid w:val="009E7F90"/>
    <w:rsid w:val="009F13F2"/>
    <w:rsid w:val="009F21C6"/>
    <w:rsid w:val="009F332A"/>
    <w:rsid w:val="009F3977"/>
    <w:rsid w:val="009F42E4"/>
    <w:rsid w:val="009F4B87"/>
    <w:rsid w:val="009F6D83"/>
    <w:rsid w:val="009F7BD4"/>
    <w:rsid w:val="00A03228"/>
    <w:rsid w:val="00A0348A"/>
    <w:rsid w:val="00A039E0"/>
    <w:rsid w:val="00A06741"/>
    <w:rsid w:val="00A06DD0"/>
    <w:rsid w:val="00A074C5"/>
    <w:rsid w:val="00A10AF5"/>
    <w:rsid w:val="00A10CE5"/>
    <w:rsid w:val="00A15E87"/>
    <w:rsid w:val="00A175E2"/>
    <w:rsid w:val="00A2038F"/>
    <w:rsid w:val="00A21A0A"/>
    <w:rsid w:val="00A2222B"/>
    <w:rsid w:val="00A23367"/>
    <w:rsid w:val="00A24A29"/>
    <w:rsid w:val="00A2518D"/>
    <w:rsid w:val="00A26A89"/>
    <w:rsid w:val="00A26F14"/>
    <w:rsid w:val="00A26FCE"/>
    <w:rsid w:val="00A31A65"/>
    <w:rsid w:val="00A32E62"/>
    <w:rsid w:val="00A33A1A"/>
    <w:rsid w:val="00A34771"/>
    <w:rsid w:val="00A40AD9"/>
    <w:rsid w:val="00A44C57"/>
    <w:rsid w:val="00A450C0"/>
    <w:rsid w:val="00A45198"/>
    <w:rsid w:val="00A4680F"/>
    <w:rsid w:val="00A46842"/>
    <w:rsid w:val="00A46C61"/>
    <w:rsid w:val="00A46D05"/>
    <w:rsid w:val="00A47B85"/>
    <w:rsid w:val="00A500EE"/>
    <w:rsid w:val="00A549BE"/>
    <w:rsid w:val="00A54CF8"/>
    <w:rsid w:val="00A57945"/>
    <w:rsid w:val="00A60133"/>
    <w:rsid w:val="00A603FD"/>
    <w:rsid w:val="00A6383C"/>
    <w:rsid w:val="00A63F8E"/>
    <w:rsid w:val="00A65056"/>
    <w:rsid w:val="00A6565B"/>
    <w:rsid w:val="00A665CD"/>
    <w:rsid w:val="00A704C8"/>
    <w:rsid w:val="00A71751"/>
    <w:rsid w:val="00A71AB7"/>
    <w:rsid w:val="00A74B5A"/>
    <w:rsid w:val="00A74CAA"/>
    <w:rsid w:val="00A77024"/>
    <w:rsid w:val="00A81575"/>
    <w:rsid w:val="00A83B9E"/>
    <w:rsid w:val="00A83FA9"/>
    <w:rsid w:val="00A9134B"/>
    <w:rsid w:val="00A9356F"/>
    <w:rsid w:val="00AA191B"/>
    <w:rsid w:val="00AA535D"/>
    <w:rsid w:val="00AA55FA"/>
    <w:rsid w:val="00AA6143"/>
    <w:rsid w:val="00AA712D"/>
    <w:rsid w:val="00AB1517"/>
    <w:rsid w:val="00AB1C9B"/>
    <w:rsid w:val="00AB5417"/>
    <w:rsid w:val="00AB5CB5"/>
    <w:rsid w:val="00AB6076"/>
    <w:rsid w:val="00AB6168"/>
    <w:rsid w:val="00AB74F8"/>
    <w:rsid w:val="00AC0997"/>
    <w:rsid w:val="00AC12A7"/>
    <w:rsid w:val="00AC174D"/>
    <w:rsid w:val="00AC2EA8"/>
    <w:rsid w:val="00AC36C4"/>
    <w:rsid w:val="00AC4D12"/>
    <w:rsid w:val="00AC533F"/>
    <w:rsid w:val="00AC650D"/>
    <w:rsid w:val="00AC65FB"/>
    <w:rsid w:val="00AC7139"/>
    <w:rsid w:val="00AD0ED4"/>
    <w:rsid w:val="00AD4885"/>
    <w:rsid w:val="00AD56CF"/>
    <w:rsid w:val="00AD5E19"/>
    <w:rsid w:val="00AD7DE7"/>
    <w:rsid w:val="00AE156D"/>
    <w:rsid w:val="00AF0FA5"/>
    <w:rsid w:val="00AF3DEB"/>
    <w:rsid w:val="00AF5EE3"/>
    <w:rsid w:val="00AF79DF"/>
    <w:rsid w:val="00B00F55"/>
    <w:rsid w:val="00B0164B"/>
    <w:rsid w:val="00B03A30"/>
    <w:rsid w:val="00B0511F"/>
    <w:rsid w:val="00B06145"/>
    <w:rsid w:val="00B07AA8"/>
    <w:rsid w:val="00B103A9"/>
    <w:rsid w:val="00B109F3"/>
    <w:rsid w:val="00B11203"/>
    <w:rsid w:val="00B12BA4"/>
    <w:rsid w:val="00B16466"/>
    <w:rsid w:val="00B17C35"/>
    <w:rsid w:val="00B20657"/>
    <w:rsid w:val="00B206B7"/>
    <w:rsid w:val="00B20D66"/>
    <w:rsid w:val="00B21052"/>
    <w:rsid w:val="00B211E6"/>
    <w:rsid w:val="00B21296"/>
    <w:rsid w:val="00B23F33"/>
    <w:rsid w:val="00B23FFF"/>
    <w:rsid w:val="00B256E6"/>
    <w:rsid w:val="00B25B40"/>
    <w:rsid w:val="00B25B71"/>
    <w:rsid w:val="00B26119"/>
    <w:rsid w:val="00B26277"/>
    <w:rsid w:val="00B27081"/>
    <w:rsid w:val="00B31A59"/>
    <w:rsid w:val="00B33191"/>
    <w:rsid w:val="00B34920"/>
    <w:rsid w:val="00B3511D"/>
    <w:rsid w:val="00B40D00"/>
    <w:rsid w:val="00B40F76"/>
    <w:rsid w:val="00B44550"/>
    <w:rsid w:val="00B45726"/>
    <w:rsid w:val="00B46149"/>
    <w:rsid w:val="00B47231"/>
    <w:rsid w:val="00B50194"/>
    <w:rsid w:val="00B50ED0"/>
    <w:rsid w:val="00B51CEF"/>
    <w:rsid w:val="00B529AC"/>
    <w:rsid w:val="00B5316F"/>
    <w:rsid w:val="00B53A8F"/>
    <w:rsid w:val="00B54BF6"/>
    <w:rsid w:val="00B56798"/>
    <w:rsid w:val="00B56E99"/>
    <w:rsid w:val="00B570AD"/>
    <w:rsid w:val="00B5730A"/>
    <w:rsid w:val="00B57B81"/>
    <w:rsid w:val="00B6111A"/>
    <w:rsid w:val="00B61CBE"/>
    <w:rsid w:val="00B61D0B"/>
    <w:rsid w:val="00B635BB"/>
    <w:rsid w:val="00B63930"/>
    <w:rsid w:val="00B63C2C"/>
    <w:rsid w:val="00B64BC9"/>
    <w:rsid w:val="00B65350"/>
    <w:rsid w:val="00B6578A"/>
    <w:rsid w:val="00B67510"/>
    <w:rsid w:val="00B6758B"/>
    <w:rsid w:val="00B675FA"/>
    <w:rsid w:val="00B711DD"/>
    <w:rsid w:val="00B72943"/>
    <w:rsid w:val="00B754BD"/>
    <w:rsid w:val="00B75C8D"/>
    <w:rsid w:val="00B76371"/>
    <w:rsid w:val="00B77BB6"/>
    <w:rsid w:val="00B77CC2"/>
    <w:rsid w:val="00B829C0"/>
    <w:rsid w:val="00B830E6"/>
    <w:rsid w:val="00B83359"/>
    <w:rsid w:val="00B8368A"/>
    <w:rsid w:val="00B85122"/>
    <w:rsid w:val="00B86835"/>
    <w:rsid w:val="00B86D97"/>
    <w:rsid w:val="00B87D8F"/>
    <w:rsid w:val="00B92237"/>
    <w:rsid w:val="00B93949"/>
    <w:rsid w:val="00B94EBC"/>
    <w:rsid w:val="00B95C77"/>
    <w:rsid w:val="00BA0406"/>
    <w:rsid w:val="00BA16AF"/>
    <w:rsid w:val="00BA2464"/>
    <w:rsid w:val="00BA27A4"/>
    <w:rsid w:val="00BA3AA9"/>
    <w:rsid w:val="00BA416B"/>
    <w:rsid w:val="00BA438D"/>
    <w:rsid w:val="00BA572D"/>
    <w:rsid w:val="00BA5B89"/>
    <w:rsid w:val="00BA67BD"/>
    <w:rsid w:val="00BA6F9F"/>
    <w:rsid w:val="00BB08C1"/>
    <w:rsid w:val="00BB14DB"/>
    <w:rsid w:val="00BB1FD6"/>
    <w:rsid w:val="00BB2BCF"/>
    <w:rsid w:val="00BB2C99"/>
    <w:rsid w:val="00BB2D05"/>
    <w:rsid w:val="00BB32EE"/>
    <w:rsid w:val="00BB34D6"/>
    <w:rsid w:val="00BB3800"/>
    <w:rsid w:val="00BB3B7E"/>
    <w:rsid w:val="00BB3BE1"/>
    <w:rsid w:val="00BB77BE"/>
    <w:rsid w:val="00BC0344"/>
    <w:rsid w:val="00BC0CE9"/>
    <w:rsid w:val="00BC2E19"/>
    <w:rsid w:val="00BC596F"/>
    <w:rsid w:val="00BC7B0A"/>
    <w:rsid w:val="00BD1929"/>
    <w:rsid w:val="00BD1DF2"/>
    <w:rsid w:val="00BD222D"/>
    <w:rsid w:val="00BD26B2"/>
    <w:rsid w:val="00BD272B"/>
    <w:rsid w:val="00BD2E07"/>
    <w:rsid w:val="00BD3479"/>
    <w:rsid w:val="00BD4268"/>
    <w:rsid w:val="00BD7365"/>
    <w:rsid w:val="00BE17FC"/>
    <w:rsid w:val="00BE1C4A"/>
    <w:rsid w:val="00BE3038"/>
    <w:rsid w:val="00BE3EA8"/>
    <w:rsid w:val="00BE4C1C"/>
    <w:rsid w:val="00BE51EB"/>
    <w:rsid w:val="00BE59E9"/>
    <w:rsid w:val="00BE6143"/>
    <w:rsid w:val="00BE63CC"/>
    <w:rsid w:val="00BE653B"/>
    <w:rsid w:val="00BE6888"/>
    <w:rsid w:val="00BE73BB"/>
    <w:rsid w:val="00BE7624"/>
    <w:rsid w:val="00BF09C9"/>
    <w:rsid w:val="00BF13A6"/>
    <w:rsid w:val="00BF2016"/>
    <w:rsid w:val="00BF3478"/>
    <w:rsid w:val="00BF361E"/>
    <w:rsid w:val="00BF3D15"/>
    <w:rsid w:val="00BF51AE"/>
    <w:rsid w:val="00BF59C7"/>
    <w:rsid w:val="00BF5A5D"/>
    <w:rsid w:val="00BF68F6"/>
    <w:rsid w:val="00C00290"/>
    <w:rsid w:val="00C00473"/>
    <w:rsid w:val="00C004B3"/>
    <w:rsid w:val="00C009C3"/>
    <w:rsid w:val="00C03992"/>
    <w:rsid w:val="00C03F8C"/>
    <w:rsid w:val="00C07579"/>
    <w:rsid w:val="00C079F0"/>
    <w:rsid w:val="00C07ED9"/>
    <w:rsid w:val="00C10169"/>
    <w:rsid w:val="00C1083B"/>
    <w:rsid w:val="00C115F4"/>
    <w:rsid w:val="00C129FB"/>
    <w:rsid w:val="00C15364"/>
    <w:rsid w:val="00C16313"/>
    <w:rsid w:val="00C16D92"/>
    <w:rsid w:val="00C17F73"/>
    <w:rsid w:val="00C2162C"/>
    <w:rsid w:val="00C23041"/>
    <w:rsid w:val="00C275BD"/>
    <w:rsid w:val="00C27F26"/>
    <w:rsid w:val="00C313AB"/>
    <w:rsid w:val="00C3196D"/>
    <w:rsid w:val="00C31C4B"/>
    <w:rsid w:val="00C31DEF"/>
    <w:rsid w:val="00C34E01"/>
    <w:rsid w:val="00C37EA5"/>
    <w:rsid w:val="00C37EF7"/>
    <w:rsid w:val="00C4030A"/>
    <w:rsid w:val="00C40962"/>
    <w:rsid w:val="00C419F9"/>
    <w:rsid w:val="00C43828"/>
    <w:rsid w:val="00C43A38"/>
    <w:rsid w:val="00C441EE"/>
    <w:rsid w:val="00C447EC"/>
    <w:rsid w:val="00C46515"/>
    <w:rsid w:val="00C47727"/>
    <w:rsid w:val="00C501A5"/>
    <w:rsid w:val="00C52120"/>
    <w:rsid w:val="00C55978"/>
    <w:rsid w:val="00C5602B"/>
    <w:rsid w:val="00C56E9C"/>
    <w:rsid w:val="00C5703E"/>
    <w:rsid w:val="00C600B5"/>
    <w:rsid w:val="00C60B68"/>
    <w:rsid w:val="00C61E5D"/>
    <w:rsid w:val="00C62069"/>
    <w:rsid w:val="00C647AF"/>
    <w:rsid w:val="00C66216"/>
    <w:rsid w:val="00C70976"/>
    <w:rsid w:val="00C70A57"/>
    <w:rsid w:val="00C70C01"/>
    <w:rsid w:val="00C72383"/>
    <w:rsid w:val="00C75ACA"/>
    <w:rsid w:val="00C75D74"/>
    <w:rsid w:val="00C75F0B"/>
    <w:rsid w:val="00C77BE2"/>
    <w:rsid w:val="00C82EDC"/>
    <w:rsid w:val="00C83D94"/>
    <w:rsid w:val="00C84443"/>
    <w:rsid w:val="00C859FD"/>
    <w:rsid w:val="00C85D19"/>
    <w:rsid w:val="00C861A7"/>
    <w:rsid w:val="00C867BB"/>
    <w:rsid w:val="00C86EB2"/>
    <w:rsid w:val="00C874BE"/>
    <w:rsid w:val="00C87E50"/>
    <w:rsid w:val="00C9202A"/>
    <w:rsid w:val="00C937C2"/>
    <w:rsid w:val="00C93DDE"/>
    <w:rsid w:val="00C94E9A"/>
    <w:rsid w:val="00C951A8"/>
    <w:rsid w:val="00C95243"/>
    <w:rsid w:val="00CA003B"/>
    <w:rsid w:val="00CA1323"/>
    <w:rsid w:val="00CA2A5A"/>
    <w:rsid w:val="00CA4859"/>
    <w:rsid w:val="00CA5EC0"/>
    <w:rsid w:val="00CA62DB"/>
    <w:rsid w:val="00CA650A"/>
    <w:rsid w:val="00CA6DAE"/>
    <w:rsid w:val="00CA7DA1"/>
    <w:rsid w:val="00CB02C6"/>
    <w:rsid w:val="00CB21E3"/>
    <w:rsid w:val="00CB28BB"/>
    <w:rsid w:val="00CB35EE"/>
    <w:rsid w:val="00CB3EC1"/>
    <w:rsid w:val="00CB40DB"/>
    <w:rsid w:val="00CB42FC"/>
    <w:rsid w:val="00CB54C8"/>
    <w:rsid w:val="00CB6D98"/>
    <w:rsid w:val="00CB767D"/>
    <w:rsid w:val="00CB77B6"/>
    <w:rsid w:val="00CB7D07"/>
    <w:rsid w:val="00CB7DF7"/>
    <w:rsid w:val="00CC0B60"/>
    <w:rsid w:val="00CC0FE2"/>
    <w:rsid w:val="00CC47C7"/>
    <w:rsid w:val="00CC4E80"/>
    <w:rsid w:val="00CC5F1A"/>
    <w:rsid w:val="00CD1D1A"/>
    <w:rsid w:val="00CD2C02"/>
    <w:rsid w:val="00CD3272"/>
    <w:rsid w:val="00CD3CD4"/>
    <w:rsid w:val="00CD63FE"/>
    <w:rsid w:val="00CD7AD7"/>
    <w:rsid w:val="00CE012C"/>
    <w:rsid w:val="00CE01FD"/>
    <w:rsid w:val="00CE05D9"/>
    <w:rsid w:val="00CE0706"/>
    <w:rsid w:val="00CE186F"/>
    <w:rsid w:val="00CE209D"/>
    <w:rsid w:val="00CE723B"/>
    <w:rsid w:val="00CE7F00"/>
    <w:rsid w:val="00CF02AE"/>
    <w:rsid w:val="00CF0F03"/>
    <w:rsid w:val="00CF3560"/>
    <w:rsid w:val="00CF5167"/>
    <w:rsid w:val="00CF6660"/>
    <w:rsid w:val="00CF6B97"/>
    <w:rsid w:val="00CF6C4B"/>
    <w:rsid w:val="00D00CB9"/>
    <w:rsid w:val="00D018DE"/>
    <w:rsid w:val="00D01A74"/>
    <w:rsid w:val="00D02799"/>
    <w:rsid w:val="00D036C5"/>
    <w:rsid w:val="00D05D45"/>
    <w:rsid w:val="00D070A6"/>
    <w:rsid w:val="00D07F6E"/>
    <w:rsid w:val="00D11ACD"/>
    <w:rsid w:val="00D127AE"/>
    <w:rsid w:val="00D14009"/>
    <w:rsid w:val="00D14496"/>
    <w:rsid w:val="00D17C55"/>
    <w:rsid w:val="00D17D47"/>
    <w:rsid w:val="00D17E16"/>
    <w:rsid w:val="00D17F9A"/>
    <w:rsid w:val="00D20B2F"/>
    <w:rsid w:val="00D210ED"/>
    <w:rsid w:val="00D2147C"/>
    <w:rsid w:val="00D21727"/>
    <w:rsid w:val="00D22CE2"/>
    <w:rsid w:val="00D231B6"/>
    <w:rsid w:val="00D23272"/>
    <w:rsid w:val="00D234E1"/>
    <w:rsid w:val="00D23D57"/>
    <w:rsid w:val="00D245B1"/>
    <w:rsid w:val="00D24C3A"/>
    <w:rsid w:val="00D26B76"/>
    <w:rsid w:val="00D30645"/>
    <w:rsid w:val="00D321A0"/>
    <w:rsid w:val="00D339FA"/>
    <w:rsid w:val="00D34565"/>
    <w:rsid w:val="00D34746"/>
    <w:rsid w:val="00D36DC2"/>
    <w:rsid w:val="00D37A2C"/>
    <w:rsid w:val="00D40329"/>
    <w:rsid w:val="00D4036D"/>
    <w:rsid w:val="00D404A1"/>
    <w:rsid w:val="00D40DF5"/>
    <w:rsid w:val="00D435E9"/>
    <w:rsid w:val="00D4502D"/>
    <w:rsid w:val="00D4546E"/>
    <w:rsid w:val="00D46D15"/>
    <w:rsid w:val="00D47222"/>
    <w:rsid w:val="00D473A7"/>
    <w:rsid w:val="00D51C23"/>
    <w:rsid w:val="00D520BB"/>
    <w:rsid w:val="00D52F17"/>
    <w:rsid w:val="00D538D4"/>
    <w:rsid w:val="00D53924"/>
    <w:rsid w:val="00D55999"/>
    <w:rsid w:val="00D57025"/>
    <w:rsid w:val="00D602D7"/>
    <w:rsid w:val="00D62744"/>
    <w:rsid w:val="00D628FE"/>
    <w:rsid w:val="00D62CE1"/>
    <w:rsid w:val="00D63AF0"/>
    <w:rsid w:val="00D64F4F"/>
    <w:rsid w:val="00D66DA7"/>
    <w:rsid w:val="00D70897"/>
    <w:rsid w:val="00D71B68"/>
    <w:rsid w:val="00D7339D"/>
    <w:rsid w:val="00D737AA"/>
    <w:rsid w:val="00D747F8"/>
    <w:rsid w:val="00D7522D"/>
    <w:rsid w:val="00D75B43"/>
    <w:rsid w:val="00D8003E"/>
    <w:rsid w:val="00D8071A"/>
    <w:rsid w:val="00D837F2"/>
    <w:rsid w:val="00D83809"/>
    <w:rsid w:val="00D8497E"/>
    <w:rsid w:val="00D8572B"/>
    <w:rsid w:val="00D91965"/>
    <w:rsid w:val="00D91D88"/>
    <w:rsid w:val="00D92A10"/>
    <w:rsid w:val="00D92A2A"/>
    <w:rsid w:val="00D92B24"/>
    <w:rsid w:val="00D94E06"/>
    <w:rsid w:val="00D96C1E"/>
    <w:rsid w:val="00D96C36"/>
    <w:rsid w:val="00D97D99"/>
    <w:rsid w:val="00DA015D"/>
    <w:rsid w:val="00DA1914"/>
    <w:rsid w:val="00DA1B86"/>
    <w:rsid w:val="00DA2270"/>
    <w:rsid w:val="00DA22BD"/>
    <w:rsid w:val="00DA2B22"/>
    <w:rsid w:val="00DA49CF"/>
    <w:rsid w:val="00DA6919"/>
    <w:rsid w:val="00DA6A62"/>
    <w:rsid w:val="00DA6EC4"/>
    <w:rsid w:val="00DB0234"/>
    <w:rsid w:val="00DB07EF"/>
    <w:rsid w:val="00DB0FD2"/>
    <w:rsid w:val="00DB19E0"/>
    <w:rsid w:val="00DB1BD3"/>
    <w:rsid w:val="00DB2C39"/>
    <w:rsid w:val="00DB3DCE"/>
    <w:rsid w:val="00DB5DC8"/>
    <w:rsid w:val="00DB5E6A"/>
    <w:rsid w:val="00DB73EB"/>
    <w:rsid w:val="00DB786C"/>
    <w:rsid w:val="00DC1700"/>
    <w:rsid w:val="00DC24ED"/>
    <w:rsid w:val="00DC26AD"/>
    <w:rsid w:val="00DC4E29"/>
    <w:rsid w:val="00DC4F93"/>
    <w:rsid w:val="00DC738F"/>
    <w:rsid w:val="00DD1675"/>
    <w:rsid w:val="00DD200B"/>
    <w:rsid w:val="00DD2FA6"/>
    <w:rsid w:val="00DD3589"/>
    <w:rsid w:val="00DD3641"/>
    <w:rsid w:val="00DD6187"/>
    <w:rsid w:val="00DD7A85"/>
    <w:rsid w:val="00DD7E6C"/>
    <w:rsid w:val="00DE137A"/>
    <w:rsid w:val="00DE617E"/>
    <w:rsid w:val="00DE66F1"/>
    <w:rsid w:val="00DE7AB3"/>
    <w:rsid w:val="00DF1EB5"/>
    <w:rsid w:val="00DF530F"/>
    <w:rsid w:val="00DF5D19"/>
    <w:rsid w:val="00DF68BC"/>
    <w:rsid w:val="00DF6A21"/>
    <w:rsid w:val="00E0186A"/>
    <w:rsid w:val="00E01CC9"/>
    <w:rsid w:val="00E0209B"/>
    <w:rsid w:val="00E02BC3"/>
    <w:rsid w:val="00E02E46"/>
    <w:rsid w:val="00E030D8"/>
    <w:rsid w:val="00E05B8B"/>
    <w:rsid w:val="00E05FCB"/>
    <w:rsid w:val="00E065DD"/>
    <w:rsid w:val="00E06697"/>
    <w:rsid w:val="00E11D44"/>
    <w:rsid w:val="00E140EB"/>
    <w:rsid w:val="00E14C5E"/>
    <w:rsid w:val="00E154A3"/>
    <w:rsid w:val="00E208EF"/>
    <w:rsid w:val="00E227F8"/>
    <w:rsid w:val="00E22E12"/>
    <w:rsid w:val="00E24283"/>
    <w:rsid w:val="00E2444B"/>
    <w:rsid w:val="00E24786"/>
    <w:rsid w:val="00E26148"/>
    <w:rsid w:val="00E2686E"/>
    <w:rsid w:val="00E269C3"/>
    <w:rsid w:val="00E30517"/>
    <w:rsid w:val="00E30665"/>
    <w:rsid w:val="00E31F33"/>
    <w:rsid w:val="00E324C9"/>
    <w:rsid w:val="00E33FC4"/>
    <w:rsid w:val="00E360F8"/>
    <w:rsid w:val="00E364F9"/>
    <w:rsid w:val="00E37E32"/>
    <w:rsid w:val="00E41757"/>
    <w:rsid w:val="00E43446"/>
    <w:rsid w:val="00E43A03"/>
    <w:rsid w:val="00E43EE1"/>
    <w:rsid w:val="00E448B4"/>
    <w:rsid w:val="00E50033"/>
    <w:rsid w:val="00E542EE"/>
    <w:rsid w:val="00E55256"/>
    <w:rsid w:val="00E57BF6"/>
    <w:rsid w:val="00E57E01"/>
    <w:rsid w:val="00E63319"/>
    <w:rsid w:val="00E63CD1"/>
    <w:rsid w:val="00E65E47"/>
    <w:rsid w:val="00E66968"/>
    <w:rsid w:val="00E712E6"/>
    <w:rsid w:val="00E7184D"/>
    <w:rsid w:val="00E737AE"/>
    <w:rsid w:val="00E75073"/>
    <w:rsid w:val="00E7604C"/>
    <w:rsid w:val="00E77413"/>
    <w:rsid w:val="00E80B5E"/>
    <w:rsid w:val="00E81906"/>
    <w:rsid w:val="00E81F1A"/>
    <w:rsid w:val="00E82A9C"/>
    <w:rsid w:val="00E83000"/>
    <w:rsid w:val="00E834C8"/>
    <w:rsid w:val="00E838CC"/>
    <w:rsid w:val="00E83CE5"/>
    <w:rsid w:val="00E864C3"/>
    <w:rsid w:val="00E867D7"/>
    <w:rsid w:val="00E8705B"/>
    <w:rsid w:val="00E8767A"/>
    <w:rsid w:val="00E87A32"/>
    <w:rsid w:val="00E90306"/>
    <w:rsid w:val="00E906E5"/>
    <w:rsid w:val="00E90BD8"/>
    <w:rsid w:val="00E9153E"/>
    <w:rsid w:val="00E92148"/>
    <w:rsid w:val="00E92A57"/>
    <w:rsid w:val="00E93707"/>
    <w:rsid w:val="00E94426"/>
    <w:rsid w:val="00E964EF"/>
    <w:rsid w:val="00E97645"/>
    <w:rsid w:val="00E97951"/>
    <w:rsid w:val="00EA0A68"/>
    <w:rsid w:val="00EA5A57"/>
    <w:rsid w:val="00EA5F8B"/>
    <w:rsid w:val="00EA7A4C"/>
    <w:rsid w:val="00EB1374"/>
    <w:rsid w:val="00EB14E1"/>
    <w:rsid w:val="00EB31E3"/>
    <w:rsid w:val="00EB499F"/>
    <w:rsid w:val="00EB5517"/>
    <w:rsid w:val="00EB65B5"/>
    <w:rsid w:val="00EB6F2E"/>
    <w:rsid w:val="00EC092F"/>
    <w:rsid w:val="00EC0CE3"/>
    <w:rsid w:val="00EC124F"/>
    <w:rsid w:val="00EC3AD1"/>
    <w:rsid w:val="00EC7C23"/>
    <w:rsid w:val="00ED01C5"/>
    <w:rsid w:val="00ED04FC"/>
    <w:rsid w:val="00ED0FD0"/>
    <w:rsid w:val="00ED108C"/>
    <w:rsid w:val="00ED1F59"/>
    <w:rsid w:val="00ED1F9E"/>
    <w:rsid w:val="00ED4149"/>
    <w:rsid w:val="00ED49B9"/>
    <w:rsid w:val="00ED4BCA"/>
    <w:rsid w:val="00ED4C01"/>
    <w:rsid w:val="00ED6E74"/>
    <w:rsid w:val="00ED7077"/>
    <w:rsid w:val="00EE669E"/>
    <w:rsid w:val="00EE6B17"/>
    <w:rsid w:val="00EE752C"/>
    <w:rsid w:val="00EE7610"/>
    <w:rsid w:val="00EF2114"/>
    <w:rsid w:val="00EF4259"/>
    <w:rsid w:val="00EF4943"/>
    <w:rsid w:val="00EF5334"/>
    <w:rsid w:val="00EF7BAC"/>
    <w:rsid w:val="00EF7EA4"/>
    <w:rsid w:val="00EF7F2A"/>
    <w:rsid w:val="00F00B22"/>
    <w:rsid w:val="00F01B57"/>
    <w:rsid w:val="00F01CFA"/>
    <w:rsid w:val="00F028F3"/>
    <w:rsid w:val="00F03DEF"/>
    <w:rsid w:val="00F041D1"/>
    <w:rsid w:val="00F047F0"/>
    <w:rsid w:val="00F04C1F"/>
    <w:rsid w:val="00F06980"/>
    <w:rsid w:val="00F07277"/>
    <w:rsid w:val="00F07476"/>
    <w:rsid w:val="00F10E68"/>
    <w:rsid w:val="00F114CA"/>
    <w:rsid w:val="00F11D1F"/>
    <w:rsid w:val="00F126E2"/>
    <w:rsid w:val="00F13FE1"/>
    <w:rsid w:val="00F1483C"/>
    <w:rsid w:val="00F15673"/>
    <w:rsid w:val="00F1594C"/>
    <w:rsid w:val="00F16032"/>
    <w:rsid w:val="00F17B5D"/>
    <w:rsid w:val="00F20DDB"/>
    <w:rsid w:val="00F22233"/>
    <w:rsid w:val="00F22475"/>
    <w:rsid w:val="00F22B55"/>
    <w:rsid w:val="00F23C54"/>
    <w:rsid w:val="00F24D9A"/>
    <w:rsid w:val="00F254ED"/>
    <w:rsid w:val="00F255EC"/>
    <w:rsid w:val="00F26BE8"/>
    <w:rsid w:val="00F27999"/>
    <w:rsid w:val="00F30D61"/>
    <w:rsid w:val="00F31D18"/>
    <w:rsid w:val="00F357AB"/>
    <w:rsid w:val="00F35908"/>
    <w:rsid w:val="00F35DB0"/>
    <w:rsid w:val="00F363CE"/>
    <w:rsid w:val="00F36A39"/>
    <w:rsid w:val="00F376F3"/>
    <w:rsid w:val="00F428D7"/>
    <w:rsid w:val="00F44167"/>
    <w:rsid w:val="00F4423B"/>
    <w:rsid w:val="00F444EE"/>
    <w:rsid w:val="00F47DBC"/>
    <w:rsid w:val="00F5127F"/>
    <w:rsid w:val="00F5160C"/>
    <w:rsid w:val="00F51D2E"/>
    <w:rsid w:val="00F51D99"/>
    <w:rsid w:val="00F52E46"/>
    <w:rsid w:val="00F5348E"/>
    <w:rsid w:val="00F607BE"/>
    <w:rsid w:val="00F60A1E"/>
    <w:rsid w:val="00F61C83"/>
    <w:rsid w:val="00F63BB1"/>
    <w:rsid w:val="00F65896"/>
    <w:rsid w:val="00F6746F"/>
    <w:rsid w:val="00F70787"/>
    <w:rsid w:val="00F716CB"/>
    <w:rsid w:val="00F718A2"/>
    <w:rsid w:val="00F737B8"/>
    <w:rsid w:val="00F7576E"/>
    <w:rsid w:val="00F76810"/>
    <w:rsid w:val="00F77542"/>
    <w:rsid w:val="00F81C8C"/>
    <w:rsid w:val="00F81EBF"/>
    <w:rsid w:val="00F8266C"/>
    <w:rsid w:val="00F83813"/>
    <w:rsid w:val="00F8408A"/>
    <w:rsid w:val="00F84DBB"/>
    <w:rsid w:val="00F84F65"/>
    <w:rsid w:val="00F855DD"/>
    <w:rsid w:val="00F904CD"/>
    <w:rsid w:val="00F91975"/>
    <w:rsid w:val="00F91BAB"/>
    <w:rsid w:val="00F93009"/>
    <w:rsid w:val="00F932D0"/>
    <w:rsid w:val="00F9352F"/>
    <w:rsid w:val="00F94CDA"/>
    <w:rsid w:val="00F95715"/>
    <w:rsid w:val="00F96871"/>
    <w:rsid w:val="00F96B01"/>
    <w:rsid w:val="00F97CC5"/>
    <w:rsid w:val="00FA0780"/>
    <w:rsid w:val="00FA0CF8"/>
    <w:rsid w:val="00FA2245"/>
    <w:rsid w:val="00FA32D9"/>
    <w:rsid w:val="00FA428F"/>
    <w:rsid w:val="00FA6277"/>
    <w:rsid w:val="00FA62F2"/>
    <w:rsid w:val="00FA7563"/>
    <w:rsid w:val="00FB0008"/>
    <w:rsid w:val="00FB00BF"/>
    <w:rsid w:val="00FB01C7"/>
    <w:rsid w:val="00FB1197"/>
    <w:rsid w:val="00FB1648"/>
    <w:rsid w:val="00FB2DF8"/>
    <w:rsid w:val="00FB4574"/>
    <w:rsid w:val="00FB4FB6"/>
    <w:rsid w:val="00FB5410"/>
    <w:rsid w:val="00FB5629"/>
    <w:rsid w:val="00FB57F2"/>
    <w:rsid w:val="00FB61CD"/>
    <w:rsid w:val="00FB6BDA"/>
    <w:rsid w:val="00FB7A57"/>
    <w:rsid w:val="00FC283E"/>
    <w:rsid w:val="00FC2D4C"/>
    <w:rsid w:val="00FC2DDA"/>
    <w:rsid w:val="00FC2EA9"/>
    <w:rsid w:val="00FC3090"/>
    <w:rsid w:val="00FC363C"/>
    <w:rsid w:val="00FC419E"/>
    <w:rsid w:val="00FC427E"/>
    <w:rsid w:val="00FC47CB"/>
    <w:rsid w:val="00FC666A"/>
    <w:rsid w:val="00FC7C6C"/>
    <w:rsid w:val="00FC7CAF"/>
    <w:rsid w:val="00FD0A87"/>
    <w:rsid w:val="00FD0C84"/>
    <w:rsid w:val="00FD0EB2"/>
    <w:rsid w:val="00FD1B70"/>
    <w:rsid w:val="00FD3AC5"/>
    <w:rsid w:val="00FD4985"/>
    <w:rsid w:val="00FE1B91"/>
    <w:rsid w:val="00FE2161"/>
    <w:rsid w:val="00FE238E"/>
    <w:rsid w:val="00FE5D9B"/>
    <w:rsid w:val="00FE661C"/>
    <w:rsid w:val="00FE72C1"/>
    <w:rsid w:val="00FE767E"/>
    <w:rsid w:val="00FE7EF4"/>
    <w:rsid w:val="00FF1CF2"/>
    <w:rsid w:val="00FF1DCA"/>
    <w:rsid w:val="00FF2FF7"/>
    <w:rsid w:val="00FF4CA9"/>
    <w:rsid w:val="00FF6388"/>
    <w:rsid w:val="00FF6434"/>
    <w:rsid w:val="00FF6AF6"/>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364D6C-3651-4DB1-B7F3-619FED118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432FE"/>
    <w:pPr>
      <w:tabs>
        <w:tab w:val="center" w:pos="4536"/>
        <w:tab w:val="right" w:pos="9072"/>
      </w:tabs>
      <w:spacing w:after="0" w:line="240" w:lineRule="auto"/>
    </w:pPr>
  </w:style>
  <w:style w:type="character" w:customStyle="1" w:styleId="En-tteCar">
    <w:name w:val="En-tête Car"/>
    <w:basedOn w:val="Policepardfaut"/>
    <w:link w:val="En-tte"/>
    <w:uiPriority w:val="99"/>
    <w:rsid w:val="004432FE"/>
  </w:style>
  <w:style w:type="paragraph" w:styleId="Pieddepage">
    <w:name w:val="footer"/>
    <w:basedOn w:val="Normal"/>
    <w:link w:val="PieddepageCar"/>
    <w:uiPriority w:val="99"/>
    <w:unhideWhenUsed/>
    <w:rsid w:val="004432F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432FE"/>
  </w:style>
  <w:style w:type="paragraph" w:styleId="Paragraphedeliste">
    <w:name w:val="List Paragraph"/>
    <w:aliases w:val="EC,Paragraphe de liste11,Paragraphe de liste1,Colorful List Accent 1,List Paragraph (numbered (a)),List_Paragraph,Multilevel para_II,List Paragraph1,Colorful List - Accent 11,Dot pt,No Spacing1,Indicator Text,L,Puce,Bullet 1,Bullet"/>
    <w:basedOn w:val="Normal"/>
    <w:link w:val="ParagraphedelisteCar"/>
    <w:uiPriority w:val="34"/>
    <w:qFormat/>
    <w:rsid w:val="004432FE"/>
    <w:pPr>
      <w:spacing w:after="200" w:line="276" w:lineRule="auto"/>
      <w:ind w:left="720"/>
      <w:contextualSpacing/>
    </w:pPr>
  </w:style>
  <w:style w:type="character" w:customStyle="1" w:styleId="ParagraphedelisteCar">
    <w:name w:val="Paragraphe de liste Car"/>
    <w:aliases w:val="EC Car,Paragraphe de liste11 Car,Paragraphe de liste1 Car,Colorful List Accent 1 Car,List Paragraph (numbered (a)) Car,List_Paragraph Car,Multilevel para_II Car,List Paragraph1 Car,Colorful List - Accent 11 Car,Dot pt Car,L Car"/>
    <w:basedOn w:val="Policepardfaut"/>
    <w:link w:val="Paragraphedeliste"/>
    <w:uiPriority w:val="34"/>
    <w:qFormat/>
    <w:rsid w:val="004432FE"/>
  </w:style>
  <w:style w:type="paragraph" w:customStyle="1" w:styleId="Briefinglist1">
    <w:name w:val="Briefing list 1"/>
    <w:basedOn w:val="Normal"/>
    <w:rsid w:val="004432FE"/>
    <w:pPr>
      <w:keepLines/>
      <w:numPr>
        <w:numId w:val="1"/>
      </w:numPr>
      <w:spacing w:after="120" w:line="240" w:lineRule="auto"/>
      <w:jc w:val="both"/>
    </w:pPr>
    <w:rPr>
      <w:rFonts w:ascii="Arial" w:eastAsia="SimSun" w:hAnsi="Arial" w:cs="Arial"/>
      <w:szCs w:val="24"/>
      <w:lang w:val="en-GB"/>
    </w:rPr>
  </w:style>
  <w:style w:type="paragraph" w:styleId="Textedebulles">
    <w:name w:val="Balloon Text"/>
    <w:basedOn w:val="Normal"/>
    <w:link w:val="TextedebullesCar"/>
    <w:semiHidden/>
    <w:rsid w:val="004432FE"/>
    <w:pPr>
      <w:overflowPunct w:val="0"/>
      <w:autoSpaceDE w:val="0"/>
      <w:autoSpaceDN w:val="0"/>
      <w:adjustRightInd w:val="0"/>
      <w:spacing w:after="0" w:line="240" w:lineRule="auto"/>
      <w:textAlignment w:val="baseline"/>
    </w:pPr>
    <w:rPr>
      <w:rFonts w:ascii="Tahoma" w:eastAsia="Times New Roman" w:hAnsi="Tahoma" w:cs="Tahoma"/>
      <w:sz w:val="16"/>
      <w:szCs w:val="16"/>
      <w:lang w:eastAsia="fr-FR"/>
    </w:rPr>
  </w:style>
  <w:style w:type="character" w:customStyle="1" w:styleId="TextedebullesCar">
    <w:name w:val="Texte de bulles Car"/>
    <w:basedOn w:val="Policepardfaut"/>
    <w:link w:val="Textedebulles"/>
    <w:semiHidden/>
    <w:rsid w:val="004432FE"/>
    <w:rPr>
      <w:rFonts w:ascii="Tahoma" w:eastAsia="Times New Roman" w:hAnsi="Tahoma" w:cs="Tahoma"/>
      <w:sz w:val="16"/>
      <w:szCs w:val="16"/>
      <w:lang w:eastAsia="fr-FR"/>
    </w:rPr>
  </w:style>
  <w:style w:type="character" w:customStyle="1" w:styleId="affaire-suiviepar">
    <w:name w:val="affaire-suivie par"/>
    <w:basedOn w:val="Policepardfaut"/>
    <w:uiPriority w:val="1"/>
    <w:rsid w:val="004432FE"/>
    <w:rPr>
      <w:rFonts w:ascii="Times New Roman" w:hAnsi="Times New Roman"/>
      <w:sz w:val="18"/>
    </w:rPr>
  </w:style>
  <w:style w:type="paragraph" w:styleId="Sansinterligne">
    <w:name w:val="No Spacing"/>
    <w:uiPriority w:val="1"/>
    <w:qFormat/>
    <w:rsid w:val="004432FE"/>
    <w:pPr>
      <w:spacing w:after="0" w:line="240" w:lineRule="auto"/>
    </w:pPr>
  </w:style>
  <w:style w:type="table" w:styleId="Grilledutableau">
    <w:name w:val="Table Grid"/>
    <w:basedOn w:val="TableauNormal"/>
    <w:uiPriority w:val="39"/>
    <w:rsid w:val="006A68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aliases w:val="fn Car,Footnotes Car,Footnote ak Car"/>
    <w:basedOn w:val="Policepardfaut"/>
    <w:link w:val="Notedebasdepage"/>
    <w:uiPriority w:val="99"/>
    <w:locked/>
    <w:rsid w:val="0075022D"/>
    <w:rPr>
      <w:sz w:val="20"/>
      <w:szCs w:val="20"/>
      <w:lang w:val="en-US"/>
    </w:rPr>
  </w:style>
  <w:style w:type="paragraph" w:styleId="Notedebasdepage">
    <w:name w:val="footnote text"/>
    <w:aliases w:val="fn,Footnotes,Footnote ak"/>
    <w:basedOn w:val="Normal"/>
    <w:link w:val="NotedebasdepageCar"/>
    <w:uiPriority w:val="99"/>
    <w:unhideWhenUsed/>
    <w:qFormat/>
    <w:rsid w:val="0075022D"/>
    <w:pPr>
      <w:spacing w:after="0" w:line="240" w:lineRule="auto"/>
    </w:pPr>
    <w:rPr>
      <w:sz w:val="20"/>
      <w:szCs w:val="20"/>
      <w:lang w:val="en-US"/>
    </w:rPr>
  </w:style>
  <w:style w:type="character" w:customStyle="1" w:styleId="NotedebasdepageCar1">
    <w:name w:val="Note de bas de page Car1"/>
    <w:basedOn w:val="Policepardfaut"/>
    <w:uiPriority w:val="99"/>
    <w:semiHidden/>
    <w:rsid w:val="0075022D"/>
    <w:rPr>
      <w:sz w:val="20"/>
      <w:szCs w:val="20"/>
    </w:rPr>
  </w:style>
  <w:style w:type="character" w:styleId="Appeldenotedefin">
    <w:name w:val="endnote reference"/>
    <w:basedOn w:val="Policepardfaut"/>
    <w:uiPriority w:val="99"/>
    <w:semiHidden/>
    <w:unhideWhenUsed/>
    <w:rsid w:val="0075022D"/>
    <w:rPr>
      <w:vertAlign w:val="superscript"/>
    </w:rPr>
  </w:style>
  <w:style w:type="paragraph" w:styleId="Commentaire">
    <w:name w:val="annotation text"/>
    <w:basedOn w:val="Normal"/>
    <w:link w:val="CommentaireCar"/>
    <w:uiPriority w:val="99"/>
    <w:semiHidden/>
    <w:unhideWhenUsed/>
    <w:rsid w:val="00862CFE"/>
    <w:pPr>
      <w:spacing w:line="240" w:lineRule="auto"/>
    </w:pPr>
    <w:rPr>
      <w:rFonts w:eastAsia="SimSun"/>
      <w:sz w:val="20"/>
      <w:szCs w:val="20"/>
      <w:lang w:val="en-US"/>
    </w:rPr>
  </w:style>
  <w:style w:type="character" w:customStyle="1" w:styleId="CommentaireCar">
    <w:name w:val="Commentaire Car"/>
    <w:basedOn w:val="Policepardfaut"/>
    <w:link w:val="Commentaire"/>
    <w:uiPriority w:val="99"/>
    <w:semiHidden/>
    <w:rsid w:val="00862CFE"/>
    <w:rPr>
      <w:rFonts w:eastAsia="SimSun"/>
      <w:sz w:val="20"/>
      <w:szCs w:val="20"/>
      <w:lang w:val="en-US"/>
    </w:rPr>
  </w:style>
  <w:style w:type="paragraph" w:styleId="Notedefin">
    <w:name w:val="endnote text"/>
    <w:basedOn w:val="Normal"/>
    <w:link w:val="NotedefinCar"/>
    <w:uiPriority w:val="99"/>
    <w:unhideWhenUsed/>
    <w:rsid w:val="00862CFE"/>
    <w:pPr>
      <w:spacing w:after="0" w:line="240" w:lineRule="auto"/>
    </w:pPr>
    <w:rPr>
      <w:rFonts w:eastAsia="SimSun"/>
      <w:sz w:val="20"/>
      <w:szCs w:val="20"/>
      <w:lang w:val="en-US"/>
    </w:rPr>
  </w:style>
  <w:style w:type="character" w:customStyle="1" w:styleId="NotedefinCar">
    <w:name w:val="Note de fin Car"/>
    <w:basedOn w:val="Policepardfaut"/>
    <w:link w:val="Notedefin"/>
    <w:uiPriority w:val="99"/>
    <w:rsid w:val="00862CFE"/>
    <w:rPr>
      <w:rFonts w:eastAsia="SimSun"/>
      <w:sz w:val="20"/>
      <w:szCs w:val="20"/>
      <w:lang w:val="en-US"/>
    </w:rPr>
  </w:style>
  <w:style w:type="paragraph" w:styleId="NormalWeb">
    <w:name w:val="Normal (Web)"/>
    <w:basedOn w:val="Normal"/>
    <w:uiPriority w:val="99"/>
    <w:unhideWhenUsed/>
    <w:rsid w:val="00862CF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lid-translation">
    <w:name w:val="tlid-translation"/>
    <w:basedOn w:val="Policepardfaut"/>
    <w:rsid w:val="00862CFE"/>
  </w:style>
  <w:style w:type="character" w:styleId="Appelnotedebasdep">
    <w:name w:val="footnote reference"/>
    <w:aliases w:val="SUPERS,Appel note de bas de p.1"/>
    <w:basedOn w:val="Policepardfaut"/>
    <w:uiPriority w:val="99"/>
    <w:unhideWhenUsed/>
    <w:qFormat/>
    <w:rsid w:val="007646C3"/>
    <w:rPr>
      <w:vertAlign w:val="superscript"/>
    </w:rPr>
  </w:style>
  <w:style w:type="character" w:styleId="Marquedecommentaire">
    <w:name w:val="annotation reference"/>
    <w:basedOn w:val="Policepardfaut"/>
    <w:uiPriority w:val="99"/>
    <w:semiHidden/>
    <w:unhideWhenUsed/>
    <w:rsid w:val="007646C3"/>
    <w:rPr>
      <w:sz w:val="16"/>
      <w:szCs w:val="16"/>
    </w:rPr>
  </w:style>
  <w:style w:type="character" w:styleId="Lienhypertexte">
    <w:name w:val="Hyperlink"/>
    <w:basedOn w:val="Policepardfaut"/>
    <w:uiPriority w:val="99"/>
    <w:unhideWhenUsed/>
    <w:rsid w:val="00DD6187"/>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507BE1"/>
    <w:rPr>
      <w:rFonts w:eastAsiaTheme="minorHAnsi"/>
      <w:b/>
      <w:bCs/>
      <w:lang w:val="fr-FR"/>
    </w:rPr>
  </w:style>
  <w:style w:type="character" w:customStyle="1" w:styleId="ObjetducommentaireCar">
    <w:name w:val="Objet du commentaire Car"/>
    <w:basedOn w:val="CommentaireCar"/>
    <w:link w:val="Objetducommentaire"/>
    <w:uiPriority w:val="99"/>
    <w:semiHidden/>
    <w:rsid w:val="00507BE1"/>
    <w:rPr>
      <w:rFonts w:eastAsia="SimSun"/>
      <w:b/>
      <w:bCs/>
      <w:sz w:val="20"/>
      <w:szCs w:val="20"/>
      <w:lang w:val="en-US"/>
    </w:rPr>
  </w:style>
  <w:style w:type="paragraph" w:styleId="Rvision">
    <w:name w:val="Revision"/>
    <w:hidden/>
    <w:uiPriority w:val="99"/>
    <w:semiHidden/>
    <w:rsid w:val="00294F53"/>
    <w:pPr>
      <w:spacing w:after="0" w:line="240" w:lineRule="auto"/>
    </w:pPr>
  </w:style>
  <w:style w:type="character" w:styleId="lev">
    <w:name w:val="Strong"/>
    <w:basedOn w:val="Policepardfaut"/>
    <w:uiPriority w:val="22"/>
    <w:qFormat/>
    <w:rsid w:val="00CE0706"/>
    <w:rPr>
      <w:b/>
      <w:bCs/>
    </w:rPr>
  </w:style>
  <w:style w:type="character" w:styleId="Lienhypertextesuivivisit">
    <w:name w:val="FollowedHyperlink"/>
    <w:basedOn w:val="Policepardfaut"/>
    <w:uiPriority w:val="99"/>
    <w:semiHidden/>
    <w:unhideWhenUsed/>
    <w:rsid w:val="00F11D1F"/>
    <w:rPr>
      <w:color w:val="954F72" w:themeColor="followedHyperlink"/>
      <w:u w:val="single"/>
    </w:rPr>
  </w:style>
  <w:style w:type="paragraph" w:customStyle="1" w:styleId="Default">
    <w:name w:val="Default"/>
    <w:rsid w:val="004F4399"/>
    <w:pPr>
      <w:autoSpaceDE w:val="0"/>
      <w:autoSpaceDN w:val="0"/>
      <w:adjustRightInd w:val="0"/>
      <w:spacing w:after="0" w:line="240" w:lineRule="auto"/>
    </w:pPr>
    <w:rPr>
      <w:rFonts w:ascii="Calibri" w:hAnsi="Calibri" w:cs="Calibri"/>
      <w:color w:val="000000"/>
      <w:sz w:val="24"/>
      <w:szCs w:val="24"/>
      <w:lang w:eastAsia="zh-CN"/>
    </w:rPr>
  </w:style>
  <w:style w:type="paragraph" w:customStyle="1" w:styleId="paragraph">
    <w:name w:val="paragraph"/>
    <w:basedOn w:val="Normal"/>
    <w:rsid w:val="000A0434"/>
    <w:pPr>
      <w:spacing w:after="0" w:line="240" w:lineRule="auto"/>
    </w:pPr>
    <w:rPr>
      <w:rFonts w:ascii="Times New Roman" w:eastAsia="Times New Roman" w:hAnsi="Times New Roman" w:cs="Times New Roman"/>
      <w:sz w:val="24"/>
      <w:szCs w:val="24"/>
      <w:lang w:eastAsia="zh-CN"/>
    </w:rPr>
  </w:style>
  <w:style w:type="character" w:customStyle="1" w:styleId="normaltextrun1">
    <w:name w:val="normaltextrun1"/>
    <w:basedOn w:val="Policepardfaut"/>
    <w:rsid w:val="000A0434"/>
  </w:style>
  <w:style w:type="character" w:customStyle="1" w:styleId="eop">
    <w:name w:val="eop"/>
    <w:basedOn w:val="Policepardfaut"/>
    <w:rsid w:val="000A0434"/>
  </w:style>
  <w:style w:type="table" w:customStyle="1" w:styleId="Grilledutableau1">
    <w:name w:val="Grille du tableau1"/>
    <w:basedOn w:val="TableauNormal"/>
    <w:next w:val="Grilledutableau"/>
    <w:uiPriority w:val="39"/>
    <w:rsid w:val="00471333"/>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brut">
    <w:name w:val="Plain Text"/>
    <w:basedOn w:val="Normal"/>
    <w:link w:val="TextebrutCar"/>
    <w:uiPriority w:val="99"/>
    <w:semiHidden/>
    <w:unhideWhenUsed/>
    <w:rsid w:val="00353A74"/>
    <w:pPr>
      <w:spacing w:after="0" w:line="240" w:lineRule="auto"/>
    </w:pPr>
    <w:rPr>
      <w:rFonts w:ascii="Calibri" w:eastAsia="Times New Roman" w:hAnsi="Calibri" w:cs="Times New Roman"/>
      <w:szCs w:val="21"/>
      <w:lang w:eastAsia="zh-CN"/>
    </w:rPr>
  </w:style>
  <w:style w:type="character" w:customStyle="1" w:styleId="TextebrutCar">
    <w:name w:val="Texte brut Car"/>
    <w:basedOn w:val="Policepardfaut"/>
    <w:link w:val="Textebrut"/>
    <w:uiPriority w:val="99"/>
    <w:semiHidden/>
    <w:rsid w:val="00353A74"/>
    <w:rPr>
      <w:rFonts w:ascii="Calibri" w:eastAsia="Times New Roman" w:hAnsi="Calibri" w:cs="Times New Roman"/>
      <w:szCs w:val="21"/>
      <w:lang w:eastAsia="zh-CN"/>
    </w:rPr>
  </w:style>
  <w:style w:type="table" w:customStyle="1" w:styleId="Grilledutableau2">
    <w:name w:val="Grille du tableau2"/>
    <w:basedOn w:val="TableauNormal"/>
    <w:next w:val="Grilledutableau"/>
    <w:uiPriority w:val="39"/>
    <w:rsid w:val="00055D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39"/>
    <w:rsid w:val="00055D8C"/>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C11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C11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6112">
      <w:bodyDiv w:val="1"/>
      <w:marLeft w:val="0"/>
      <w:marRight w:val="0"/>
      <w:marTop w:val="0"/>
      <w:marBottom w:val="0"/>
      <w:divBdr>
        <w:top w:val="none" w:sz="0" w:space="0" w:color="auto"/>
        <w:left w:val="none" w:sz="0" w:space="0" w:color="auto"/>
        <w:bottom w:val="none" w:sz="0" w:space="0" w:color="auto"/>
        <w:right w:val="none" w:sz="0" w:space="0" w:color="auto"/>
      </w:divBdr>
    </w:div>
    <w:div w:id="23749612">
      <w:bodyDiv w:val="1"/>
      <w:marLeft w:val="0"/>
      <w:marRight w:val="0"/>
      <w:marTop w:val="0"/>
      <w:marBottom w:val="0"/>
      <w:divBdr>
        <w:top w:val="none" w:sz="0" w:space="0" w:color="auto"/>
        <w:left w:val="none" w:sz="0" w:space="0" w:color="auto"/>
        <w:bottom w:val="none" w:sz="0" w:space="0" w:color="auto"/>
        <w:right w:val="none" w:sz="0" w:space="0" w:color="auto"/>
      </w:divBdr>
    </w:div>
    <w:div w:id="65224524">
      <w:bodyDiv w:val="1"/>
      <w:marLeft w:val="0"/>
      <w:marRight w:val="0"/>
      <w:marTop w:val="0"/>
      <w:marBottom w:val="0"/>
      <w:divBdr>
        <w:top w:val="none" w:sz="0" w:space="0" w:color="auto"/>
        <w:left w:val="none" w:sz="0" w:space="0" w:color="auto"/>
        <w:bottom w:val="none" w:sz="0" w:space="0" w:color="auto"/>
        <w:right w:val="none" w:sz="0" w:space="0" w:color="auto"/>
      </w:divBdr>
      <w:divsChild>
        <w:div w:id="576092050">
          <w:marLeft w:val="0"/>
          <w:marRight w:val="0"/>
          <w:marTop w:val="0"/>
          <w:marBottom w:val="0"/>
          <w:divBdr>
            <w:top w:val="none" w:sz="0" w:space="0" w:color="auto"/>
            <w:left w:val="none" w:sz="0" w:space="0" w:color="auto"/>
            <w:bottom w:val="none" w:sz="0" w:space="0" w:color="auto"/>
            <w:right w:val="none" w:sz="0" w:space="0" w:color="auto"/>
          </w:divBdr>
          <w:divsChild>
            <w:div w:id="1588344057">
              <w:marLeft w:val="0"/>
              <w:marRight w:val="0"/>
              <w:marTop w:val="0"/>
              <w:marBottom w:val="0"/>
              <w:divBdr>
                <w:top w:val="none" w:sz="0" w:space="0" w:color="auto"/>
                <w:left w:val="none" w:sz="0" w:space="0" w:color="auto"/>
                <w:bottom w:val="none" w:sz="0" w:space="0" w:color="auto"/>
                <w:right w:val="none" w:sz="0" w:space="0" w:color="auto"/>
              </w:divBdr>
            </w:div>
            <w:div w:id="924462120">
              <w:marLeft w:val="0"/>
              <w:marRight w:val="0"/>
              <w:marTop w:val="0"/>
              <w:marBottom w:val="0"/>
              <w:divBdr>
                <w:top w:val="none" w:sz="0" w:space="0" w:color="auto"/>
                <w:left w:val="none" w:sz="0" w:space="0" w:color="auto"/>
                <w:bottom w:val="none" w:sz="0" w:space="0" w:color="auto"/>
                <w:right w:val="none" w:sz="0" w:space="0" w:color="auto"/>
              </w:divBdr>
              <w:divsChild>
                <w:div w:id="2146467452">
                  <w:marLeft w:val="0"/>
                  <w:marRight w:val="0"/>
                  <w:marTop w:val="0"/>
                  <w:marBottom w:val="0"/>
                  <w:divBdr>
                    <w:top w:val="none" w:sz="0" w:space="0" w:color="auto"/>
                    <w:left w:val="none" w:sz="0" w:space="0" w:color="auto"/>
                    <w:bottom w:val="none" w:sz="0" w:space="0" w:color="auto"/>
                    <w:right w:val="none" w:sz="0" w:space="0" w:color="auto"/>
                  </w:divBdr>
                  <w:divsChild>
                    <w:div w:id="1708796427">
                      <w:marLeft w:val="0"/>
                      <w:marRight w:val="0"/>
                      <w:marTop w:val="0"/>
                      <w:marBottom w:val="0"/>
                      <w:divBdr>
                        <w:top w:val="none" w:sz="0" w:space="0" w:color="auto"/>
                        <w:left w:val="none" w:sz="0" w:space="0" w:color="auto"/>
                        <w:bottom w:val="none" w:sz="0" w:space="0" w:color="auto"/>
                        <w:right w:val="none" w:sz="0" w:space="0" w:color="auto"/>
                      </w:divBdr>
                    </w:div>
                  </w:divsChild>
                </w:div>
                <w:div w:id="1523393270">
                  <w:marLeft w:val="0"/>
                  <w:marRight w:val="0"/>
                  <w:marTop w:val="0"/>
                  <w:marBottom w:val="0"/>
                  <w:divBdr>
                    <w:top w:val="none" w:sz="0" w:space="0" w:color="auto"/>
                    <w:left w:val="none" w:sz="0" w:space="0" w:color="auto"/>
                    <w:bottom w:val="none" w:sz="0" w:space="0" w:color="auto"/>
                    <w:right w:val="none" w:sz="0" w:space="0" w:color="auto"/>
                  </w:divBdr>
                  <w:divsChild>
                    <w:div w:id="719939767">
                      <w:marLeft w:val="0"/>
                      <w:marRight w:val="0"/>
                      <w:marTop w:val="0"/>
                      <w:marBottom w:val="0"/>
                      <w:divBdr>
                        <w:top w:val="none" w:sz="0" w:space="0" w:color="auto"/>
                        <w:left w:val="none" w:sz="0" w:space="0" w:color="auto"/>
                        <w:bottom w:val="none" w:sz="0" w:space="0" w:color="auto"/>
                        <w:right w:val="none" w:sz="0" w:space="0" w:color="auto"/>
                      </w:divBdr>
                      <w:divsChild>
                        <w:div w:id="37100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005852">
                  <w:marLeft w:val="0"/>
                  <w:marRight w:val="0"/>
                  <w:marTop w:val="0"/>
                  <w:marBottom w:val="0"/>
                  <w:divBdr>
                    <w:top w:val="none" w:sz="0" w:space="0" w:color="auto"/>
                    <w:left w:val="none" w:sz="0" w:space="0" w:color="auto"/>
                    <w:bottom w:val="none" w:sz="0" w:space="0" w:color="auto"/>
                    <w:right w:val="none" w:sz="0" w:space="0" w:color="auto"/>
                  </w:divBdr>
                  <w:divsChild>
                    <w:div w:id="132928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869688">
          <w:marLeft w:val="0"/>
          <w:marRight w:val="0"/>
          <w:marTop w:val="0"/>
          <w:marBottom w:val="0"/>
          <w:divBdr>
            <w:top w:val="none" w:sz="0" w:space="0" w:color="auto"/>
            <w:left w:val="none" w:sz="0" w:space="0" w:color="auto"/>
            <w:bottom w:val="none" w:sz="0" w:space="0" w:color="auto"/>
            <w:right w:val="none" w:sz="0" w:space="0" w:color="auto"/>
          </w:divBdr>
          <w:divsChild>
            <w:div w:id="984973286">
              <w:marLeft w:val="0"/>
              <w:marRight w:val="0"/>
              <w:marTop w:val="0"/>
              <w:marBottom w:val="0"/>
              <w:divBdr>
                <w:top w:val="none" w:sz="0" w:space="0" w:color="auto"/>
                <w:left w:val="none" w:sz="0" w:space="0" w:color="auto"/>
                <w:bottom w:val="none" w:sz="0" w:space="0" w:color="auto"/>
                <w:right w:val="none" w:sz="0" w:space="0" w:color="auto"/>
              </w:divBdr>
              <w:divsChild>
                <w:div w:id="301234349">
                  <w:marLeft w:val="0"/>
                  <w:marRight w:val="0"/>
                  <w:marTop w:val="0"/>
                  <w:marBottom w:val="0"/>
                  <w:divBdr>
                    <w:top w:val="none" w:sz="0" w:space="0" w:color="auto"/>
                    <w:left w:val="none" w:sz="0" w:space="0" w:color="auto"/>
                    <w:bottom w:val="none" w:sz="0" w:space="0" w:color="auto"/>
                    <w:right w:val="none" w:sz="0" w:space="0" w:color="auto"/>
                  </w:divBdr>
                  <w:divsChild>
                    <w:div w:id="119808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888387">
          <w:marLeft w:val="0"/>
          <w:marRight w:val="0"/>
          <w:marTop w:val="0"/>
          <w:marBottom w:val="0"/>
          <w:divBdr>
            <w:top w:val="none" w:sz="0" w:space="0" w:color="auto"/>
            <w:left w:val="none" w:sz="0" w:space="0" w:color="auto"/>
            <w:bottom w:val="none" w:sz="0" w:space="0" w:color="auto"/>
            <w:right w:val="none" w:sz="0" w:space="0" w:color="auto"/>
          </w:divBdr>
          <w:divsChild>
            <w:div w:id="1908884023">
              <w:marLeft w:val="0"/>
              <w:marRight w:val="0"/>
              <w:marTop w:val="0"/>
              <w:marBottom w:val="0"/>
              <w:divBdr>
                <w:top w:val="none" w:sz="0" w:space="0" w:color="auto"/>
                <w:left w:val="none" w:sz="0" w:space="0" w:color="auto"/>
                <w:bottom w:val="none" w:sz="0" w:space="0" w:color="auto"/>
                <w:right w:val="none" w:sz="0" w:space="0" w:color="auto"/>
              </w:divBdr>
              <w:divsChild>
                <w:div w:id="629212270">
                  <w:marLeft w:val="0"/>
                  <w:marRight w:val="0"/>
                  <w:marTop w:val="0"/>
                  <w:marBottom w:val="0"/>
                  <w:divBdr>
                    <w:top w:val="none" w:sz="0" w:space="0" w:color="auto"/>
                    <w:left w:val="none" w:sz="0" w:space="0" w:color="auto"/>
                    <w:bottom w:val="none" w:sz="0" w:space="0" w:color="auto"/>
                    <w:right w:val="none" w:sz="0" w:space="0" w:color="auto"/>
                  </w:divBdr>
                  <w:divsChild>
                    <w:div w:id="1955477038">
                      <w:marLeft w:val="0"/>
                      <w:marRight w:val="0"/>
                      <w:marTop w:val="0"/>
                      <w:marBottom w:val="0"/>
                      <w:divBdr>
                        <w:top w:val="none" w:sz="0" w:space="0" w:color="auto"/>
                        <w:left w:val="none" w:sz="0" w:space="0" w:color="auto"/>
                        <w:bottom w:val="none" w:sz="0" w:space="0" w:color="auto"/>
                        <w:right w:val="none" w:sz="0" w:space="0" w:color="auto"/>
                      </w:divBdr>
                      <w:divsChild>
                        <w:div w:id="1007563419">
                          <w:marLeft w:val="0"/>
                          <w:marRight w:val="0"/>
                          <w:marTop w:val="0"/>
                          <w:marBottom w:val="0"/>
                          <w:divBdr>
                            <w:top w:val="none" w:sz="0" w:space="0" w:color="auto"/>
                            <w:left w:val="none" w:sz="0" w:space="0" w:color="auto"/>
                            <w:bottom w:val="none" w:sz="0" w:space="0" w:color="auto"/>
                            <w:right w:val="none" w:sz="0" w:space="0" w:color="auto"/>
                          </w:divBdr>
                          <w:divsChild>
                            <w:div w:id="166647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17893">
      <w:bodyDiv w:val="1"/>
      <w:marLeft w:val="0"/>
      <w:marRight w:val="0"/>
      <w:marTop w:val="0"/>
      <w:marBottom w:val="0"/>
      <w:divBdr>
        <w:top w:val="none" w:sz="0" w:space="0" w:color="auto"/>
        <w:left w:val="none" w:sz="0" w:space="0" w:color="auto"/>
        <w:bottom w:val="none" w:sz="0" w:space="0" w:color="auto"/>
        <w:right w:val="none" w:sz="0" w:space="0" w:color="auto"/>
      </w:divBdr>
      <w:divsChild>
        <w:div w:id="82266377">
          <w:marLeft w:val="0"/>
          <w:marRight w:val="0"/>
          <w:marTop w:val="0"/>
          <w:marBottom w:val="0"/>
          <w:divBdr>
            <w:top w:val="none" w:sz="0" w:space="0" w:color="auto"/>
            <w:left w:val="none" w:sz="0" w:space="0" w:color="auto"/>
            <w:bottom w:val="none" w:sz="0" w:space="0" w:color="auto"/>
            <w:right w:val="none" w:sz="0" w:space="0" w:color="auto"/>
          </w:divBdr>
          <w:divsChild>
            <w:div w:id="2057847546">
              <w:marLeft w:val="0"/>
              <w:marRight w:val="0"/>
              <w:marTop w:val="0"/>
              <w:marBottom w:val="0"/>
              <w:divBdr>
                <w:top w:val="none" w:sz="0" w:space="0" w:color="auto"/>
                <w:left w:val="none" w:sz="0" w:space="0" w:color="auto"/>
                <w:bottom w:val="none" w:sz="0" w:space="0" w:color="auto"/>
                <w:right w:val="none" w:sz="0" w:space="0" w:color="auto"/>
              </w:divBdr>
              <w:divsChild>
                <w:div w:id="444541294">
                  <w:marLeft w:val="0"/>
                  <w:marRight w:val="0"/>
                  <w:marTop w:val="0"/>
                  <w:marBottom w:val="0"/>
                  <w:divBdr>
                    <w:top w:val="none" w:sz="0" w:space="0" w:color="auto"/>
                    <w:left w:val="none" w:sz="0" w:space="0" w:color="auto"/>
                    <w:bottom w:val="none" w:sz="0" w:space="0" w:color="auto"/>
                    <w:right w:val="none" w:sz="0" w:space="0" w:color="auto"/>
                  </w:divBdr>
                  <w:divsChild>
                    <w:div w:id="379745509">
                      <w:marLeft w:val="0"/>
                      <w:marRight w:val="0"/>
                      <w:marTop w:val="0"/>
                      <w:marBottom w:val="0"/>
                      <w:divBdr>
                        <w:top w:val="none" w:sz="0" w:space="0" w:color="auto"/>
                        <w:left w:val="none" w:sz="0" w:space="0" w:color="auto"/>
                        <w:bottom w:val="none" w:sz="0" w:space="0" w:color="auto"/>
                        <w:right w:val="none" w:sz="0" w:space="0" w:color="auto"/>
                      </w:divBdr>
                      <w:divsChild>
                        <w:div w:id="1679502596">
                          <w:marLeft w:val="0"/>
                          <w:marRight w:val="0"/>
                          <w:marTop w:val="0"/>
                          <w:marBottom w:val="0"/>
                          <w:divBdr>
                            <w:top w:val="none" w:sz="0" w:space="0" w:color="auto"/>
                            <w:left w:val="none" w:sz="0" w:space="0" w:color="auto"/>
                            <w:bottom w:val="none" w:sz="0" w:space="0" w:color="auto"/>
                            <w:right w:val="none" w:sz="0" w:space="0" w:color="auto"/>
                          </w:divBdr>
                          <w:divsChild>
                            <w:div w:id="1851406813">
                              <w:marLeft w:val="0"/>
                              <w:marRight w:val="0"/>
                              <w:marTop w:val="0"/>
                              <w:marBottom w:val="0"/>
                              <w:divBdr>
                                <w:top w:val="none" w:sz="0" w:space="0" w:color="auto"/>
                                <w:left w:val="none" w:sz="0" w:space="0" w:color="auto"/>
                                <w:bottom w:val="none" w:sz="0" w:space="0" w:color="auto"/>
                                <w:right w:val="none" w:sz="0" w:space="0" w:color="auto"/>
                              </w:divBdr>
                              <w:divsChild>
                                <w:div w:id="659623529">
                                  <w:marLeft w:val="0"/>
                                  <w:marRight w:val="0"/>
                                  <w:marTop w:val="0"/>
                                  <w:marBottom w:val="0"/>
                                  <w:divBdr>
                                    <w:top w:val="none" w:sz="0" w:space="0" w:color="auto"/>
                                    <w:left w:val="none" w:sz="0" w:space="0" w:color="auto"/>
                                    <w:bottom w:val="none" w:sz="0" w:space="0" w:color="auto"/>
                                    <w:right w:val="none" w:sz="0" w:space="0" w:color="auto"/>
                                  </w:divBdr>
                                  <w:divsChild>
                                    <w:div w:id="1016998068">
                                      <w:marLeft w:val="0"/>
                                      <w:marRight w:val="0"/>
                                      <w:marTop w:val="0"/>
                                      <w:marBottom w:val="0"/>
                                      <w:divBdr>
                                        <w:top w:val="none" w:sz="0" w:space="0" w:color="auto"/>
                                        <w:left w:val="none" w:sz="0" w:space="0" w:color="auto"/>
                                        <w:bottom w:val="none" w:sz="0" w:space="0" w:color="auto"/>
                                        <w:right w:val="none" w:sz="0" w:space="0" w:color="auto"/>
                                      </w:divBdr>
                                      <w:divsChild>
                                        <w:div w:id="623314285">
                                          <w:marLeft w:val="0"/>
                                          <w:marRight w:val="0"/>
                                          <w:marTop w:val="0"/>
                                          <w:marBottom w:val="0"/>
                                          <w:divBdr>
                                            <w:top w:val="none" w:sz="0" w:space="0" w:color="auto"/>
                                            <w:left w:val="none" w:sz="0" w:space="0" w:color="auto"/>
                                            <w:bottom w:val="none" w:sz="0" w:space="0" w:color="auto"/>
                                            <w:right w:val="none" w:sz="0" w:space="0" w:color="auto"/>
                                          </w:divBdr>
                                          <w:divsChild>
                                            <w:div w:id="125439024">
                                              <w:marLeft w:val="0"/>
                                              <w:marRight w:val="0"/>
                                              <w:marTop w:val="0"/>
                                              <w:marBottom w:val="495"/>
                                              <w:divBdr>
                                                <w:top w:val="none" w:sz="0" w:space="0" w:color="auto"/>
                                                <w:left w:val="none" w:sz="0" w:space="0" w:color="auto"/>
                                                <w:bottom w:val="none" w:sz="0" w:space="0" w:color="auto"/>
                                                <w:right w:val="none" w:sz="0" w:space="0" w:color="auto"/>
                                              </w:divBdr>
                                              <w:divsChild>
                                                <w:div w:id="62824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7920815">
      <w:bodyDiv w:val="1"/>
      <w:marLeft w:val="0"/>
      <w:marRight w:val="0"/>
      <w:marTop w:val="0"/>
      <w:marBottom w:val="0"/>
      <w:divBdr>
        <w:top w:val="none" w:sz="0" w:space="0" w:color="auto"/>
        <w:left w:val="none" w:sz="0" w:space="0" w:color="auto"/>
        <w:bottom w:val="none" w:sz="0" w:space="0" w:color="auto"/>
        <w:right w:val="none" w:sz="0" w:space="0" w:color="auto"/>
      </w:divBdr>
    </w:div>
    <w:div w:id="94326998">
      <w:bodyDiv w:val="1"/>
      <w:marLeft w:val="0"/>
      <w:marRight w:val="0"/>
      <w:marTop w:val="0"/>
      <w:marBottom w:val="0"/>
      <w:divBdr>
        <w:top w:val="none" w:sz="0" w:space="0" w:color="auto"/>
        <w:left w:val="none" w:sz="0" w:space="0" w:color="auto"/>
        <w:bottom w:val="none" w:sz="0" w:space="0" w:color="auto"/>
        <w:right w:val="none" w:sz="0" w:space="0" w:color="auto"/>
      </w:divBdr>
    </w:div>
    <w:div w:id="101923633">
      <w:bodyDiv w:val="1"/>
      <w:marLeft w:val="0"/>
      <w:marRight w:val="0"/>
      <w:marTop w:val="0"/>
      <w:marBottom w:val="0"/>
      <w:divBdr>
        <w:top w:val="none" w:sz="0" w:space="0" w:color="auto"/>
        <w:left w:val="none" w:sz="0" w:space="0" w:color="auto"/>
        <w:bottom w:val="none" w:sz="0" w:space="0" w:color="auto"/>
        <w:right w:val="none" w:sz="0" w:space="0" w:color="auto"/>
      </w:divBdr>
    </w:div>
    <w:div w:id="116611943">
      <w:bodyDiv w:val="1"/>
      <w:marLeft w:val="0"/>
      <w:marRight w:val="0"/>
      <w:marTop w:val="0"/>
      <w:marBottom w:val="0"/>
      <w:divBdr>
        <w:top w:val="none" w:sz="0" w:space="0" w:color="auto"/>
        <w:left w:val="none" w:sz="0" w:space="0" w:color="auto"/>
        <w:bottom w:val="none" w:sz="0" w:space="0" w:color="auto"/>
        <w:right w:val="none" w:sz="0" w:space="0" w:color="auto"/>
      </w:divBdr>
      <w:divsChild>
        <w:div w:id="2142528159">
          <w:marLeft w:val="0"/>
          <w:marRight w:val="0"/>
          <w:marTop w:val="0"/>
          <w:marBottom w:val="0"/>
          <w:divBdr>
            <w:top w:val="none" w:sz="0" w:space="0" w:color="auto"/>
            <w:left w:val="none" w:sz="0" w:space="0" w:color="auto"/>
            <w:bottom w:val="none" w:sz="0" w:space="0" w:color="auto"/>
            <w:right w:val="none" w:sz="0" w:space="0" w:color="auto"/>
          </w:divBdr>
          <w:divsChild>
            <w:div w:id="862665852">
              <w:marLeft w:val="0"/>
              <w:marRight w:val="0"/>
              <w:marTop w:val="0"/>
              <w:marBottom w:val="0"/>
              <w:divBdr>
                <w:top w:val="none" w:sz="0" w:space="0" w:color="auto"/>
                <w:left w:val="none" w:sz="0" w:space="0" w:color="auto"/>
                <w:bottom w:val="none" w:sz="0" w:space="0" w:color="auto"/>
                <w:right w:val="none" w:sz="0" w:space="0" w:color="auto"/>
              </w:divBdr>
              <w:divsChild>
                <w:div w:id="747121521">
                  <w:marLeft w:val="0"/>
                  <w:marRight w:val="0"/>
                  <w:marTop w:val="0"/>
                  <w:marBottom w:val="0"/>
                  <w:divBdr>
                    <w:top w:val="none" w:sz="0" w:space="0" w:color="auto"/>
                    <w:left w:val="none" w:sz="0" w:space="0" w:color="auto"/>
                    <w:bottom w:val="none" w:sz="0" w:space="0" w:color="auto"/>
                    <w:right w:val="none" w:sz="0" w:space="0" w:color="auto"/>
                  </w:divBdr>
                  <w:divsChild>
                    <w:div w:id="882981533">
                      <w:marLeft w:val="0"/>
                      <w:marRight w:val="0"/>
                      <w:marTop w:val="0"/>
                      <w:marBottom w:val="0"/>
                      <w:divBdr>
                        <w:top w:val="none" w:sz="0" w:space="0" w:color="auto"/>
                        <w:left w:val="none" w:sz="0" w:space="0" w:color="auto"/>
                        <w:bottom w:val="none" w:sz="0" w:space="0" w:color="auto"/>
                        <w:right w:val="none" w:sz="0" w:space="0" w:color="auto"/>
                      </w:divBdr>
                      <w:divsChild>
                        <w:div w:id="778137773">
                          <w:marLeft w:val="0"/>
                          <w:marRight w:val="0"/>
                          <w:marTop w:val="0"/>
                          <w:marBottom w:val="0"/>
                          <w:divBdr>
                            <w:top w:val="none" w:sz="0" w:space="0" w:color="auto"/>
                            <w:left w:val="none" w:sz="0" w:space="0" w:color="auto"/>
                            <w:bottom w:val="none" w:sz="0" w:space="0" w:color="auto"/>
                            <w:right w:val="none" w:sz="0" w:space="0" w:color="auto"/>
                          </w:divBdr>
                          <w:divsChild>
                            <w:div w:id="2109696369">
                              <w:marLeft w:val="0"/>
                              <w:marRight w:val="0"/>
                              <w:marTop w:val="0"/>
                              <w:marBottom w:val="0"/>
                              <w:divBdr>
                                <w:top w:val="none" w:sz="0" w:space="0" w:color="auto"/>
                                <w:left w:val="none" w:sz="0" w:space="0" w:color="auto"/>
                                <w:bottom w:val="none" w:sz="0" w:space="0" w:color="auto"/>
                                <w:right w:val="none" w:sz="0" w:space="0" w:color="auto"/>
                              </w:divBdr>
                              <w:divsChild>
                                <w:div w:id="1239245701">
                                  <w:marLeft w:val="0"/>
                                  <w:marRight w:val="0"/>
                                  <w:marTop w:val="0"/>
                                  <w:marBottom w:val="0"/>
                                  <w:divBdr>
                                    <w:top w:val="none" w:sz="0" w:space="0" w:color="auto"/>
                                    <w:left w:val="none" w:sz="0" w:space="0" w:color="auto"/>
                                    <w:bottom w:val="none" w:sz="0" w:space="0" w:color="auto"/>
                                    <w:right w:val="none" w:sz="0" w:space="0" w:color="auto"/>
                                  </w:divBdr>
                                  <w:divsChild>
                                    <w:div w:id="593866">
                                      <w:marLeft w:val="0"/>
                                      <w:marRight w:val="0"/>
                                      <w:marTop w:val="0"/>
                                      <w:marBottom w:val="0"/>
                                      <w:divBdr>
                                        <w:top w:val="none" w:sz="0" w:space="0" w:color="auto"/>
                                        <w:left w:val="none" w:sz="0" w:space="0" w:color="auto"/>
                                        <w:bottom w:val="none" w:sz="0" w:space="0" w:color="auto"/>
                                        <w:right w:val="none" w:sz="0" w:space="0" w:color="auto"/>
                                      </w:divBdr>
                                      <w:divsChild>
                                        <w:div w:id="2131894975">
                                          <w:marLeft w:val="0"/>
                                          <w:marRight w:val="0"/>
                                          <w:marTop w:val="0"/>
                                          <w:marBottom w:val="0"/>
                                          <w:divBdr>
                                            <w:top w:val="none" w:sz="0" w:space="0" w:color="auto"/>
                                            <w:left w:val="none" w:sz="0" w:space="0" w:color="auto"/>
                                            <w:bottom w:val="none" w:sz="0" w:space="0" w:color="auto"/>
                                            <w:right w:val="none" w:sz="0" w:space="0" w:color="auto"/>
                                          </w:divBdr>
                                          <w:divsChild>
                                            <w:div w:id="414057055">
                                              <w:marLeft w:val="0"/>
                                              <w:marRight w:val="0"/>
                                              <w:marTop w:val="0"/>
                                              <w:marBottom w:val="0"/>
                                              <w:divBdr>
                                                <w:top w:val="none" w:sz="0" w:space="0" w:color="auto"/>
                                                <w:left w:val="none" w:sz="0" w:space="0" w:color="auto"/>
                                                <w:bottom w:val="none" w:sz="0" w:space="0" w:color="auto"/>
                                                <w:right w:val="none" w:sz="0" w:space="0" w:color="auto"/>
                                              </w:divBdr>
                                              <w:divsChild>
                                                <w:div w:id="1128281749">
                                                  <w:marLeft w:val="0"/>
                                                  <w:marRight w:val="0"/>
                                                  <w:marTop w:val="0"/>
                                                  <w:marBottom w:val="0"/>
                                                  <w:divBdr>
                                                    <w:top w:val="none" w:sz="0" w:space="0" w:color="auto"/>
                                                    <w:left w:val="none" w:sz="0" w:space="0" w:color="auto"/>
                                                    <w:bottom w:val="none" w:sz="0" w:space="0" w:color="auto"/>
                                                    <w:right w:val="none" w:sz="0" w:space="0" w:color="auto"/>
                                                  </w:divBdr>
                                                  <w:divsChild>
                                                    <w:div w:id="1804928312">
                                                      <w:marLeft w:val="0"/>
                                                      <w:marRight w:val="0"/>
                                                      <w:marTop w:val="0"/>
                                                      <w:marBottom w:val="0"/>
                                                      <w:divBdr>
                                                        <w:top w:val="single" w:sz="6" w:space="0" w:color="ABABAB"/>
                                                        <w:left w:val="single" w:sz="6" w:space="0" w:color="ABABAB"/>
                                                        <w:bottom w:val="none" w:sz="0" w:space="0" w:color="auto"/>
                                                        <w:right w:val="single" w:sz="6" w:space="0" w:color="ABABAB"/>
                                                      </w:divBdr>
                                                      <w:divsChild>
                                                        <w:div w:id="400561109">
                                                          <w:marLeft w:val="0"/>
                                                          <w:marRight w:val="0"/>
                                                          <w:marTop w:val="0"/>
                                                          <w:marBottom w:val="0"/>
                                                          <w:divBdr>
                                                            <w:top w:val="none" w:sz="0" w:space="0" w:color="auto"/>
                                                            <w:left w:val="none" w:sz="0" w:space="0" w:color="auto"/>
                                                            <w:bottom w:val="none" w:sz="0" w:space="0" w:color="auto"/>
                                                            <w:right w:val="none" w:sz="0" w:space="0" w:color="auto"/>
                                                          </w:divBdr>
                                                          <w:divsChild>
                                                            <w:div w:id="746541099">
                                                              <w:marLeft w:val="0"/>
                                                              <w:marRight w:val="0"/>
                                                              <w:marTop w:val="0"/>
                                                              <w:marBottom w:val="0"/>
                                                              <w:divBdr>
                                                                <w:top w:val="none" w:sz="0" w:space="0" w:color="auto"/>
                                                                <w:left w:val="none" w:sz="0" w:space="0" w:color="auto"/>
                                                                <w:bottom w:val="none" w:sz="0" w:space="0" w:color="auto"/>
                                                                <w:right w:val="none" w:sz="0" w:space="0" w:color="auto"/>
                                                              </w:divBdr>
                                                              <w:divsChild>
                                                                <w:div w:id="293680757">
                                                                  <w:marLeft w:val="0"/>
                                                                  <w:marRight w:val="0"/>
                                                                  <w:marTop w:val="0"/>
                                                                  <w:marBottom w:val="0"/>
                                                                  <w:divBdr>
                                                                    <w:top w:val="none" w:sz="0" w:space="0" w:color="auto"/>
                                                                    <w:left w:val="none" w:sz="0" w:space="0" w:color="auto"/>
                                                                    <w:bottom w:val="none" w:sz="0" w:space="0" w:color="auto"/>
                                                                    <w:right w:val="none" w:sz="0" w:space="0" w:color="auto"/>
                                                                  </w:divBdr>
                                                                  <w:divsChild>
                                                                    <w:div w:id="247470329">
                                                                      <w:marLeft w:val="0"/>
                                                                      <w:marRight w:val="0"/>
                                                                      <w:marTop w:val="0"/>
                                                                      <w:marBottom w:val="0"/>
                                                                      <w:divBdr>
                                                                        <w:top w:val="none" w:sz="0" w:space="0" w:color="auto"/>
                                                                        <w:left w:val="none" w:sz="0" w:space="0" w:color="auto"/>
                                                                        <w:bottom w:val="none" w:sz="0" w:space="0" w:color="auto"/>
                                                                        <w:right w:val="none" w:sz="0" w:space="0" w:color="auto"/>
                                                                      </w:divBdr>
                                                                      <w:divsChild>
                                                                        <w:div w:id="1758096782">
                                                                          <w:marLeft w:val="0"/>
                                                                          <w:marRight w:val="0"/>
                                                                          <w:marTop w:val="0"/>
                                                                          <w:marBottom w:val="0"/>
                                                                          <w:divBdr>
                                                                            <w:top w:val="none" w:sz="0" w:space="0" w:color="auto"/>
                                                                            <w:left w:val="none" w:sz="0" w:space="0" w:color="auto"/>
                                                                            <w:bottom w:val="none" w:sz="0" w:space="0" w:color="auto"/>
                                                                            <w:right w:val="none" w:sz="0" w:space="0" w:color="auto"/>
                                                                          </w:divBdr>
                                                                          <w:divsChild>
                                                                            <w:div w:id="1846557406">
                                                                              <w:marLeft w:val="0"/>
                                                                              <w:marRight w:val="0"/>
                                                                              <w:marTop w:val="0"/>
                                                                              <w:marBottom w:val="0"/>
                                                                              <w:divBdr>
                                                                                <w:top w:val="none" w:sz="0" w:space="0" w:color="auto"/>
                                                                                <w:left w:val="none" w:sz="0" w:space="0" w:color="auto"/>
                                                                                <w:bottom w:val="none" w:sz="0" w:space="0" w:color="auto"/>
                                                                                <w:right w:val="none" w:sz="0" w:space="0" w:color="auto"/>
                                                                              </w:divBdr>
                                                                              <w:divsChild>
                                                                                <w:div w:id="3073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135702">
      <w:bodyDiv w:val="1"/>
      <w:marLeft w:val="0"/>
      <w:marRight w:val="0"/>
      <w:marTop w:val="0"/>
      <w:marBottom w:val="0"/>
      <w:divBdr>
        <w:top w:val="none" w:sz="0" w:space="0" w:color="auto"/>
        <w:left w:val="none" w:sz="0" w:space="0" w:color="auto"/>
        <w:bottom w:val="none" w:sz="0" w:space="0" w:color="auto"/>
        <w:right w:val="none" w:sz="0" w:space="0" w:color="auto"/>
      </w:divBdr>
    </w:div>
    <w:div w:id="139425472">
      <w:bodyDiv w:val="1"/>
      <w:marLeft w:val="0"/>
      <w:marRight w:val="0"/>
      <w:marTop w:val="0"/>
      <w:marBottom w:val="0"/>
      <w:divBdr>
        <w:top w:val="none" w:sz="0" w:space="0" w:color="auto"/>
        <w:left w:val="none" w:sz="0" w:space="0" w:color="auto"/>
        <w:bottom w:val="none" w:sz="0" w:space="0" w:color="auto"/>
        <w:right w:val="none" w:sz="0" w:space="0" w:color="auto"/>
      </w:divBdr>
    </w:div>
    <w:div w:id="149253557">
      <w:bodyDiv w:val="1"/>
      <w:marLeft w:val="0"/>
      <w:marRight w:val="0"/>
      <w:marTop w:val="0"/>
      <w:marBottom w:val="0"/>
      <w:divBdr>
        <w:top w:val="none" w:sz="0" w:space="0" w:color="auto"/>
        <w:left w:val="none" w:sz="0" w:space="0" w:color="auto"/>
        <w:bottom w:val="none" w:sz="0" w:space="0" w:color="auto"/>
        <w:right w:val="none" w:sz="0" w:space="0" w:color="auto"/>
      </w:divBdr>
    </w:div>
    <w:div w:id="173107306">
      <w:bodyDiv w:val="1"/>
      <w:marLeft w:val="0"/>
      <w:marRight w:val="0"/>
      <w:marTop w:val="0"/>
      <w:marBottom w:val="0"/>
      <w:divBdr>
        <w:top w:val="none" w:sz="0" w:space="0" w:color="auto"/>
        <w:left w:val="none" w:sz="0" w:space="0" w:color="auto"/>
        <w:bottom w:val="none" w:sz="0" w:space="0" w:color="auto"/>
        <w:right w:val="none" w:sz="0" w:space="0" w:color="auto"/>
      </w:divBdr>
    </w:div>
    <w:div w:id="177043816">
      <w:bodyDiv w:val="1"/>
      <w:marLeft w:val="0"/>
      <w:marRight w:val="0"/>
      <w:marTop w:val="0"/>
      <w:marBottom w:val="0"/>
      <w:divBdr>
        <w:top w:val="none" w:sz="0" w:space="0" w:color="auto"/>
        <w:left w:val="none" w:sz="0" w:space="0" w:color="auto"/>
        <w:bottom w:val="none" w:sz="0" w:space="0" w:color="auto"/>
        <w:right w:val="none" w:sz="0" w:space="0" w:color="auto"/>
      </w:divBdr>
    </w:div>
    <w:div w:id="222176361">
      <w:bodyDiv w:val="1"/>
      <w:marLeft w:val="0"/>
      <w:marRight w:val="0"/>
      <w:marTop w:val="0"/>
      <w:marBottom w:val="0"/>
      <w:divBdr>
        <w:top w:val="none" w:sz="0" w:space="0" w:color="auto"/>
        <w:left w:val="none" w:sz="0" w:space="0" w:color="auto"/>
        <w:bottom w:val="none" w:sz="0" w:space="0" w:color="auto"/>
        <w:right w:val="none" w:sz="0" w:space="0" w:color="auto"/>
      </w:divBdr>
    </w:div>
    <w:div w:id="239945670">
      <w:bodyDiv w:val="1"/>
      <w:marLeft w:val="0"/>
      <w:marRight w:val="0"/>
      <w:marTop w:val="0"/>
      <w:marBottom w:val="0"/>
      <w:divBdr>
        <w:top w:val="none" w:sz="0" w:space="0" w:color="auto"/>
        <w:left w:val="none" w:sz="0" w:space="0" w:color="auto"/>
        <w:bottom w:val="none" w:sz="0" w:space="0" w:color="auto"/>
        <w:right w:val="none" w:sz="0" w:space="0" w:color="auto"/>
      </w:divBdr>
    </w:div>
    <w:div w:id="303582664">
      <w:bodyDiv w:val="1"/>
      <w:marLeft w:val="0"/>
      <w:marRight w:val="0"/>
      <w:marTop w:val="0"/>
      <w:marBottom w:val="0"/>
      <w:divBdr>
        <w:top w:val="none" w:sz="0" w:space="0" w:color="auto"/>
        <w:left w:val="none" w:sz="0" w:space="0" w:color="auto"/>
        <w:bottom w:val="none" w:sz="0" w:space="0" w:color="auto"/>
        <w:right w:val="none" w:sz="0" w:space="0" w:color="auto"/>
      </w:divBdr>
    </w:div>
    <w:div w:id="303897645">
      <w:bodyDiv w:val="1"/>
      <w:marLeft w:val="0"/>
      <w:marRight w:val="0"/>
      <w:marTop w:val="0"/>
      <w:marBottom w:val="0"/>
      <w:divBdr>
        <w:top w:val="none" w:sz="0" w:space="0" w:color="auto"/>
        <w:left w:val="none" w:sz="0" w:space="0" w:color="auto"/>
        <w:bottom w:val="none" w:sz="0" w:space="0" w:color="auto"/>
        <w:right w:val="none" w:sz="0" w:space="0" w:color="auto"/>
      </w:divBdr>
      <w:divsChild>
        <w:div w:id="777720203">
          <w:marLeft w:val="0"/>
          <w:marRight w:val="0"/>
          <w:marTop w:val="0"/>
          <w:marBottom w:val="0"/>
          <w:divBdr>
            <w:top w:val="none" w:sz="0" w:space="0" w:color="auto"/>
            <w:left w:val="none" w:sz="0" w:space="0" w:color="auto"/>
            <w:bottom w:val="none" w:sz="0" w:space="0" w:color="auto"/>
            <w:right w:val="none" w:sz="0" w:space="0" w:color="auto"/>
          </w:divBdr>
          <w:divsChild>
            <w:div w:id="359203361">
              <w:marLeft w:val="0"/>
              <w:marRight w:val="0"/>
              <w:marTop w:val="0"/>
              <w:marBottom w:val="0"/>
              <w:divBdr>
                <w:top w:val="none" w:sz="0" w:space="0" w:color="auto"/>
                <w:left w:val="none" w:sz="0" w:space="0" w:color="auto"/>
                <w:bottom w:val="none" w:sz="0" w:space="0" w:color="auto"/>
                <w:right w:val="none" w:sz="0" w:space="0" w:color="auto"/>
              </w:divBdr>
              <w:divsChild>
                <w:div w:id="1665206263">
                  <w:marLeft w:val="0"/>
                  <w:marRight w:val="0"/>
                  <w:marTop w:val="0"/>
                  <w:marBottom w:val="0"/>
                  <w:divBdr>
                    <w:top w:val="none" w:sz="0" w:space="0" w:color="auto"/>
                    <w:left w:val="none" w:sz="0" w:space="0" w:color="auto"/>
                    <w:bottom w:val="none" w:sz="0" w:space="0" w:color="auto"/>
                    <w:right w:val="none" w:sz="0" w:space="0" w:color="auto"/>
                  </w:divBdr>
                  <w:divsChild>
                    <w:div w:id="737050462">
                      <w:marLeft w:val="0"/>
                      <w:marRight w:val="0"/>
                      <w:marTop w:val="0"/>
                      <w:marBottom w:val="0"/>
                      <w:divBdr>
                        <w:top w:val="none" w:sz="0" w:space="0" w:color="auto"/>
                        <w:left w:val="none" w:sz="0" w:space="0" w:color="auto"/>
                        <w:bottom w:val="none" w:sz="0" w:space="0" w:color="auto"/>
                        <w:right w:val="none" w:sz="0" w:space="0" w:color="auto"/>
                      </w:divBdr>
                      <w:divsChild>
                        <w:div w:id="829949286">
                          <w:marLeft w:val="0"/>
                          <w:marRight w:val="0"/>
                          <w:marTop w:val="0"/>
                          <w:marBottom w:val="0"/>
                          <w:divBdr>
                            <w:top w:val="none" w:sz="0" w:space="0" w:color="auto"/>
                            <w:left w:val="none" w:sz="0" w:space="0" w:color="auto"/>
                            <w:bottom w:val="none" w:sz="0" w:space="0" w:color="auto"/>
                            <w:right w:val="none" w:sz="0" w:space="0" w:color="auto"/>
                          </w:divBdr>
                          <w:divsChild>
                            <w:div w:id="1469779026">
                              <w:marLeft w:val="0"/>
                              <w:marRight w:val="0"/>
                              <w:marTop w:val="0"/>
                              <w:marBottom w:val="0"/>
                              <w:divBdr>
                                <w:top w:val="none" w:sz="0" w:space="0" w:color="auto"/>
                                <w:left w:val="none" w:sz="0" w:space="0" w:color="auto"/>
                                <w:bottom w:val="none" w:sz="0" w:space="0" w:color="auto"/>
                                <w:right w:val="none" w:sz="0" w:space="0" w:color="auto"/>
                              </w:divBdr>
                              <w:divsChild>
                                <w:div w:id="420301925">
                                  <w:marLeft w:val="0"/>
                                  <w:marRight w:val="0"/>
                                  <w:marTop w:val="0"/>
                                  <w:marBottom w:val="0"/>
                                  <w:divBdr>
                                    <w:top w:val="none" w:sz="0" w:space="0" w:color="auto"/>
                                    <w:left w:val="none" w:sz="0" w:space="0" w:color="auto"/>
                                    <w:bottom w:val="none" w:sz="0" w:space="0" w:color="auto"/>
                                    <w:right w:val="none" w:sz="0" w:space="0" w:color="auto"/>
                                  </w:divBdr>
                                  <w:divsChild>
                                    <w:div w:id="1649169201">
                                      <w:marLeft w:val="0"/>
                                      <w:marRight w:val="0"/>
                                      <w:marTop w:val="0"/>
                                      <w:marBottom w:val="0"/>
                                      <w:divBdr>
                                        <w:top w:val="none" w:sz="0" w:space="0" w:color="auto"/>
                                        <w:left w:val="none" w:sz="0" w:space="0" w:color="auto"/>
                                        <w:bottom w:val="none" w:sz="0" w:space="0" w:color="auto"/>
                                        <w:right w:val="none" w:sz="0" w:space="0" w:color="auto"/>
                                      </w:divBdr>
                                      <w:divsChild>
                                        <w:div w:id="1316568331">
                                          <w:marLeft w:val="0"/>
                                          <w:marRight w:val="0"/>
                                          <w:marTop w:val="0"/>
                                          <w:marBottom w:val="0"/>
                                          <w:divBdr>
                                            <w:top w:val="none" w:sz="0" w:space="0" w:color="auto"/>
                                            <w:left w:val="none" w:sz="0" w:space="0" w:color="auto"/>
                                            <w:bottom w:val="none" w:sz="0" w:space="0" w:color="auto"/>
                                            <w:right w:val="none" w:sz="0" w:space="0" w:color="auto"/>
                                          </w:divBdr>
                                          <w:divsChild>
                                            <w:div w:id="867522368">
                                              <w:marLeft w:val="0"/>
                                              <w:marRight w:val="0"/>
                                              <w:marTop w:val="0"/>
                                              <w:marBottom w:val="495"/>
                                              <w:divBdr>
                                                <w:top w:val="none" w:sz="0" w:space="0" w:color="auto"/>
                                                <w:left w:val="none" w:sz="0" w:space="0" w:color="auto"/>
                                                <w:bottom w:val="none" w:sz="0" w:space="0" w:color="auto"/>
                                                <w:right w:val="none" w:sz="0" w:space="0" w:color="auto"/>
                                              </w:divBdr>
                                              <w:divsChild>
                                                <w:div w:id="191446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04622874">
      <w:bodyDiv w:val="1"/>
      <w:marLeft w:val="0"/>
      <w:marRight w:val="0"/>
      <w:marTop w:val="0"/>
      <w:marBottom w:val="0"/>
      <w:divBdr>
        <w:top w:val="none" w:sz="0" w:space="0" w:color="auto"/>
        <w:left w:val="none" w:sz="0" w:space="0" w:color="auto"/>
        <w:bottom w:val="none" w:sz="0" w:space="0" w:color="auto"/>
        <w:right w:val="none" w:sz="0" w:space="0" w:color="auto"/>
      </w:divBdr>
    </w:div>
    <w:div w:id="325478423">
      <w:bodyDiv w:val="1"/>
      <w:marLeft w:val="0"/>
      <w:marRight w:val="0"/>
      <w:marTop w:val="0"/>
      <w:marBottom w:val="0"/>
      <w:divBdr>
        <w:top w:val="none" w:sz="0" w:space="0" w:color="auto"/>
        <w:left w:val="none" w:sz="0" w:space="0" w:color="auto"/>
        <w:bottom w:val="none" w:sz="0" w:space="0" w:color="auto"/>
        <w:right w:val="none" w:sz="0" w:space="0" w:color="auto"/>
      </w:divBdr>
    </w:div>
    <w:div w:id="338894062">
      <w:bodyDiv w:val="1"/>
      <w:marLeft w:val="0"/>
      <w:marRight w:val="0"/>
      <w:marTop w:val="0"/>
      <w:marBottom w:val="0"/>
      <w:divBdr>
        <w:top w:val="none" w:sz="0" w:space="0" w:color="auto"/>
        <w:left w:val="none" w:sz="0" w:space="0" w:color="auto"/>
        <w:bottom w:val="none" w:sz="0" w:space="0" w:color="auto"/>
        <w:right w:val="none" w:sz="0" w:space="0" w:color="auto"/>
      </w:divBdr>
    </w:div>
    <w:div w:id="339165326">
      <w:bodyDiv w:val="1"/>
      <w:marLeft w:val="0"/>
      <w:marRight w:val="0"/>
      <w:marTop w:val="0"/>
      <w:marBottom w:val="0"/>
      <w:divBdr>
        <w:top w:val="none" w:sz="0" w:space="0" w:color="auto"/>
        <w:left w:val="none" w:sz="0" w:space="0" w:color="auto"/>
        <w:bottom w:val="none" w:sz="0" w:space="0" w:color="auto"/>
        <w:right w:val="none" w:sz="0" w:space="0" w:color="auto"/>
      </w:divBdr>
    </w:div>
    <w:div w:id="412093153">
      <w:bodyDiv w:val="1"/>
      <w:marLeft w:val="0"/>
      <w:marRight w:val="0"/>
      <w:marTop w:val="0"/>
      <w:marBottom w:val="0"/>
      <w:divBdr>
        <w:top w:val="none" w:sz="0" w:space="0" w:color="auto"/>
        <w:left w:val="none" w:sz="0" w:space="0" w:color="auto"/>
        <w:bottom w:val="none" w:sz="0" w:space="0" w:color="auto"/>
        <w:right w:val="none" w:sz="0" w:space="0" w:color="auto"/>
      </w:divBdr>
    </w:div>
    <w:div w:id="485636248">
      <w:bodyDiv w:val="1"/>
      <w:marLeft w:val="0"/>
      <w:marRight w:val="0"/>
      <w:marTop w:val="0"/>
      <w:marBottom w:val="0"/>
      <w:divBdr>
        <w:top w:val="none" w:sz="0" w:space="0" w:color="auto"/>
        <w:left w:val="none" w:sz="0" w:space="0" w:color="auto"/>
        <w:bottom w:val="none" w:sz="0" w:space="0" w:color="auto"/>
        <w:right w:val="none" w:sz="0" w:space="0" w:color="auto"/>
      </w:divBdr>
    </w:div>
    <w:div w:id="487092769">
      <w:bodyDiv w:val="1"/>
      <w:marLeft w:val="0"/>
      <w:marRight w:val="0"/>
      <w:marTop w:val="0"/>
      <w:marBottom w:val="0"/>
      <w:divBdr>
        <w:top w:val="none" w:sz="0" w:space="0" w:color="auto"/>
        <w:left w:val="none" w:sz="0" w:space="0" w:color="auto"/>
        <w:bottom w:val="none" w:sz="0" w:space="0" w:color="auto"/>
        <w:right w:val="none" w:sz="0" w:space="0" w:color="auto"/>
      </w:divBdr>
    </w:div>
    <w:div w:id="500583049">
      <w:bodyDiv w:val="1"/>
      <w:marLeft w:val="0"/>
      <w:marRight w:val="0"/>
      <w:marTop w:val="0"/>
      <w:marBottom w:val="0"/>
      <w:divBdr>
        <w:top w:val="none" w:sz="0" w:space="0" w:color="auto"/>
        <w:left w:val="none" w:sz="0" w:space="0" w:color="auto"/>
        <w:bottom w:val="none" w:sz="0" w:space="0" w:color="auto"/>
        <w:right w:val="none" w:sz="0" w:space="0" w:color="auto"/>
      </w:divBdr>
    </w:div>
    <w:div w:id="500776315">
      <w:bodyDiv w:val="1"/>
      <w:marLeft w:val="0"/>
      <w:marRight w:val="0"/>
      <w:marTop w:val="0"/>
      <w:marBottom w:val="0"/>
      <w:divBdr>
        <w:top w:val="none" w:sz="0" w:space="0" w:color="auto"/>
        <w:left w:val="none" w:sz="0" w:space="0" w:color="auto"/>
        <w:bottom w:val="none" w:sz="0" w:space="0" w:color="auto"/>
        <w:right w:val="none" w:sz="0" w:space="0" w:color="auto"/>
      </w:divBdr>
    </w:div>
    <w:div w:id="500972267">
      <w:bodyDiv w:val="1"/>
      <w:marLeft w:val="0"/>
      <w:marRight w:val="0"/>
      <w:marTop w:val="0"/>
      <w:marBottom w:val="0"/>
      <w:divBdr>
        <w:top w:val="none" w:sz="0" w:space="0" w:color="auto"/>
        <w:left w:val="none" w:sz="0" w:space="0" w:color="auto"/>
        <w:bottom w:val="none" w:sz="0" w:space="0" w:color="auto"/>
        <w:right w:val="none" w:sz="0" w:space="0" w:color="auto"/>
      </w:divBdr>
    </w:div>
    <w:div w:id="529536469">
      <w:bodyDiv w:val="1"/>
      <w:marLeft w:val="0"/>
      <w:marRight w:val="0"/>
      <w:marTop w:val="0"/>
      <w:marBottom w:val="0"/>
      <w:divBdr>
        <w:top w:val="none" w:sz="0" w:space="0" w:color="auto"/>
        <w:left w:val="none" w:sz="0" w:space="0" w:color="auto"/>
        <w:bottom w:val="none" w:sz="0" w:space="0" w:color="auto"/>
        <w:right w:val="none" w:sz="0" w:space="0" w:color="auto"/>
      </w:divBdr>
    </w:div>
    <w:div w:id="546645067">
      <w:bodyDiv w:val="1"/>
      <w:marLeft w:val="0"/>
      <w:marRight w:val="0"/>
      <w:marTop w:val="0"/>
      <w:marBottom w:val="0"/>
      <w:divBdr>
        <w:top w:val="none" w:sz="0" w:space="0" w:color="auto"/>
        <w:left w:val="none" w:sz="0" w:space="0" w:color="auto"/>
        <w:bottom w:val="none" w:sz="0" w:space="0" w:color="auto"/>
        <w:right w:val="none" w:sz="0" w:space="0" w:color="auto"/>
      </w:divBdr>
    </w:div>
    <w:div w:id="571503330">
      <w:bodyDiv w:val="1"/>
      <w:marLeft w:val="0"/>
      <w:marRight w:val="0"/>
      <w:marTop w:val="0"/>
      <w:marBottom w:val="0"/>
      <w:divBdr>
        <w:top w:val="none" w:sz="0" w:space="0" w:color="auto"/>
        <w:left w:val="none" w:sz="0" w:space="0" w:color="auto"/>
        <w:bottom w:val="none" w:sz="0" w:space="0" w:color="auto"/>
        <w:right w:val="none" w:sz="0" w:space="0" w:color="auto"/>
      </w:divBdr>
    </w:div>
    <w:div w:id="596987695">
      <w:bodyDiv w:val="1"/>
      <w:marLeft w:val="0"/>
      <w:marRight w:val="0"/>
      <w:marTop w:val="0"/>
      <w:marBottom w:val="0"/>
      <w:divBdr>
        <w:top w:val="none" w:sz="0" w:space="0" w:color="auto"/>
        <w:left w:val="none" w:sz="0" w:space="0" w:color="auto"/>
        <w:bottom w:val="none" w:sz="0" w:space="0" w:color="auto"/>
        <w:right w:val="none" w:sz="0" w:space="0" w:color="auto"/>
      </w:divBdr>
    </w:div>
    <w:div w:id="610210562">
      <w:bodyDiv w:val="1"/>
      <w:marLeft w:val="0"/>
      <w:marRight w:val="0"/>
      <w:marTop w:val="0"/>
      <w:marBottom w:val="0"/>
      <w:divBdr>
        <w:top w:val="none" w:sz="0" w:space="0" w:color="auto"/>
        <w:left w:val="none" w:sz="0" w:space="0" w:color="auto"/>
        <w:bottom w:val="none" w:sz="0" w:space="0" w:color="auto"/>
        <w:right w:val="none" w:sz="0" w:space="0" w:color="auto"/>
      </w:divBdr>
    </w:div>
    <w:div w:id="621570387">
      <w:bodyDiv w:val="1"/>
      <w:marLeft w:val="0"/>
      <w:marRight w:val="0"/>
      <w:marTop w:val="0"/>
      <w:marBottom w:val="0"/>
      <w:divBdr>
        <w:top w:val="none" w:sz="0" w:space="0" w:color="auto"/>
        <w:left w:val="none" w:sz="0" w:space="0" w:color="auto"/>
        <w:bottom w:val="none" w:sz="0" w:space="0" w:color="auto"/>
        <w:right w:val="none" w:sz="0" w:space="0" w:color="auto"/>
      </w:divBdr>
    </w:div>
    <w:div w:id="632097540">
      <w:bodyDiv w:val="1"/>
      <w:marLeft w:val="0"/>
      <w:marRight w:val="0"/>
      <w:marTop w:val="0"/>
      <w:marBottom w:val="0"/>
      <w:divBdr>
        <w:top w:val="none" w:sz="0" w:space="0" w:color="auto"/>
        <w:left w:val="none" w:sz="0" w:space="0" w:color="auto"/>
        <w:bottom w:val="none" w:sz="0" w:space="0" w:color="auto"/>
        <w:right w:val="none" w:sz="0" w:space="0" w:color="auto"/>
      </w:divBdr>
    </w:div>
    <w:div w:id="650521329">
      <w:bodyDiv w:val="1"/>
      <w:marLeft w:val="0"/>
      <w:marRight w:val="0"/>
      <w:marTop w:val="0"/>
      <w:marBottom w:val="0"/>
      <w:divBdr>
        <w:top w:val="none" w:sz="0" w:space="0" w:color="auto"/>
        <w:left w:val="none" w:sz="0" w:space="0" w:color="auto"/>
        <w:bottom w:val="none" w:sz="0" w:space="0" w:color="auto"/>
        <w:right w:val="none" w:sz="0" w:space="0" w:color="auto"/>
      </w:divBdr>
    </w:div>
    <w:div w:id="663121963">
      <w:bodyDiv w:val="1"/>
      <w:marLeft w:val="0"/>
      <w:marRight w:val="0"/>
      <w:marTop w:val="0"/>
      <w:marBottom w:val="0"/>
      <w:divBdr>
        <w:top w:val="none" w:sz="0" w:space="0" w:color="auto"/>
        <w:left w:val="none" w:sz="0" w:space="0" w:color="auto"/>
        <w:bottom w:val="none" w:sz="0" w:space="0" w:color="auto"/>
        <w:right w:val="none" w:sz="0" w:space="0" w:color="auto"/>
      </w:divBdr>
    </w:div>
    <w:div w:id="663896688">
      <w:bodyDiv w:val="1"/>
      <w:marLeft w:val="0"/>
      <w:marRight w:val="0"/>
      <w:marTop w:val="0"/>
      <w:marBottom w:val="0"/>
      <w:divBdr>
        <w:top w:val="none" w:sz="0" w:space="0" w:color="auto"/>
        <w:left w:val="none" w:sz="0" w:space="0" w:color="auto"/>
        <w:bottom w:val="none" w:sz="0" w:space="0" w:color="auto"/>
        <w:right w:val="none" w:sz="0" w:space="0" w:color="auto"/>
      </w:divBdr>
    </w:div>
    <w:div w:id="665745229">
      <w:bodyDiv w:val="1"/>
      <w:marLeft w:val="0"/>
      <w:marRight w:val="0"/>
      <w:marTop w:val="0"/>
      <w:marBottom w:val="0"/>
      <w:divBdr>
        <w:top w:val="none" w:sz="0" w:space="0" w:color="auto"/>
        <w:left w:val="none" w:sz="0" w:space="0" w:color="auto"/>
        <w:bottom w:val="none" w:sz="0" w:space="0" w:color="auto"/>
        <w:right w:val="none" w:sz="0" w:space="0" w:color="auto"/>
      </w:divBdr>
    </w:div>
    <w:div w:id="688718472">
      <w:bodyDiv w:val="1"/>
      <w:marLeft w:val="0"/>
      <w:marRight w:val="0"/>
      <w:marTop w:val="0"/>
      <w:marBottom w:val="0"/>
      <w:divBdr>
        <w:top w:val="none" w:sz="0" w:space="0" w:color="auto"/>
        <w:left w:val="none" w:sz="0" w:space="0" w:color="auto"/>
        <w:bottom w:val="none" w:sz="0" w:space="0" w:color="auto"/>
        <w:right w:val="none" w:sz="0" w:space="0" w:color="auto"/>
      </w:divBdr>
      <w:divsChild>
        <w:div w:id="508566040">
          <w:marLeft w:val="0"/>
          <w:marRight w:val="0"/>
          <w:marTop w:val="0"/>
          <w:marBottom w:val="0"/>
          <w:divBdr>
            <w:top w:val="none" w:sz="0" w:space="0" w:color="auto"/>
            <w:left w:val="none" w:sz="0" w:space="0" w:color="auto"/>
            <w:bottom w:val="none" w:sz="0" w:space="0" w:color="auto"/>
            <w:right w:val="none" w:sz="0" w:space="0" w:color="auto"/>
          </w:divBdr>
          <w:divsChild>
            <w:div w:id="431513471">
              <w:marLeft w:val="0"/>
              <w:marRight w:val="0"/>
              <w:marTop w:val="0"/>
              <w:marBottom w:val="0"/>
              <w:divBdr>
                <w:top w:val="none" w:sz="0" w:space="0" w:color="auto"/>
                <w:left w:val="none" w:sz="0" w:space="0" w:color="auto"/>
                <w:bottom w:val="none" w:sz="0" w:space="0" w:color="auto"/>
                <w:right w:val="none" w:sz="0" w:space="0" w:color="auto"/>
              </w:divBdr>
              <w:divsChild>
                <w:div w:id="285702553">
                  <w:marLeft w:val="0"/>
                  <w:marRight w:val="0"/>
                  <w:marTop w:val="0"/>
                  <w:marBottom w:val="0"/>
                  <w:divBdr>
                    <w:top w:val="none" w:sz="0" w:space="0" w:color="auto"/>
                    <w:left w:val="none" w:sz="0" w:space="0" w:color="auto"/>
                    <w:bottom w:val="none" w:sz="0" w:space="0" w:color="auto"/>
                    <w:right w:val="none" w:sz="0" w:space="0" w:color="auto"/>
                  </w:divBdr>
                  <w:divsChild>
                    <w:div w:id="1673216332">
                      <w:marLeft w:val="0"/>
                      <w:marRight w:val="0"/>
                      <w:marTop w:val="0"/>
                      <w:marBottom w:val="0"/>
                      <w:divBdr>
                        <w:top w:val="none" w:sz="0" w:space="0" w:color="auto"/>
                        <w:left w:val="none" w:sz="0" w:space="0" w:color="auto"/>
                        <w:bottom w:val="none" w:sz="0" w:space="0" w:color="auto"/>
                        <w:right w:val="none" w:sz="0" w:space="0" w:color="auto"/>
                      </w:divBdr>
                      <w:divsChild>
                        <w:div w:id="1307010424">
                          <w:marLeft w:val="0"/>
                          <w:marRight w:val="0"/>
                          <w:marTop w:val="0"/>
                          <w:marBottom w:val="0"/>
                          <w:divBdr>
                            <w:top w:val="none" w:sz="0" w:space="0" w:color="auto"/>
                            <w:left w:val="none" w:sz="0" w:space="0" w:color="auto"/>
                            <w:bottom w:val="none" w:sz="0" w:space="0" w:color="auto"/>
                            <w:right w:val="none" w:sz="0" w:space="0" w:color="auto"/>
                          </w:divBdr>
                          <w:divsChild>
                            <w:div w:id="1514613224">
                              <w:marLeft w:val="0"/>
                              <w:marRight w:val="0"/>
                              <w:marTop w:val="0"/>
                              <w:marBottom w:val="0"/>
                              <w:divBdr>
                                <w:top w:val="none" w:sz="0" w:space="0" w:color="auto"/>
                                <w:left w:val="none" w:sz="0" w:space="0" w:color="auto"/>
                                <w:bottom w:val="none" w:sz="0" w:space="0" w:color="auto"/>
                                <w:right w:val="none" w:sz="0" w:space="0" w:color="auto"/>
                              </w:divBdr>
                              <w:divsChild>
                                <w:div w:id="1331061349">
                                  <w:marLeft w:val="0"/>
                                  <w:marRight w:val="0"/>
                                  <w:marTop w:val="0"/>
                                  <w:marBottom w:val="0"/>
                                  <w:divBdr>
                                    <w:top w:val="none" w:sz="0" w:space="0" w:color="auto"/>
                                    <w:left w:val="none" w:sz="0" w:space="0" w:color="auto"/>
                                    <w:bottom w:val="none" w:sz="0" w:space="0" w:color="auto"/>
                                    <w:right w:val="none" w:sz="0" w:space="0" w:color="auto"/>
                                  </w:divBdr>
                                  <w:divsChild>
                                    <w:div w:id="1593783432">
                                      <w:marLeft w:val="0"/>
                                      <w:marRight w:val="0"/>
                                      <w:marTop w:val="0"/>
                                      <w:marBottom w:val="0"/>
                                      <w:divBdr>
                                        <w:top w:val="none" w:sz="0" w:space="0" w:color="auto"/>
                                        <w:left w:val="none" w:sz="0" w:space="0" w:color="auto"/>
                                        <w:bottom w:val="none" w:sz="0" w:space="0" w:color="auto"/>
                                        <w:right w:val="none" w:sz="0" w:space="0" w:color="auto"/>
                                      </w:divBdr>
                                      <w:divsChild>
                                        <w:div w:id="398359436">
                                          <w:marLeft w:val="0"/>
                                          <w:marRight w:val="0"/>
                                          <w:marTop w:val="0"/>
                                          <w:marBottom w:val="0"/>
                                          <w:divBdr>
                                            <w:top w:val="none" w:sz="0" w:space="0" w:color="auto"/>
                                            <w:left w:val="none" w:sz="0" w:space="0" w:color="auto"/>
                                            <w:bottom w:val="none" w:sz="0" w:space="0" w:color="auto"/>
                                            <w:right w:val="none" w:sz="0" w:space="0" w:color="auto"/>
                                          </w:divBdr>
                                          <w:divsChild>
                                            <w:div w:id="918103800">
                                              <w:marLeft w:val="0"/>
                                              <w:marRight w:val="0"/>
                                              <w:marTop w:val="0"/>
                                              <w:marBottom w:val="495"/>
                                              <w:divBdr>
                                                <w:top w:val="none" w:sz="0" w:space="0" w:color="auto"/>
                                                <w:left w:val="none" w:sz="0" w:space="0" w:color="auto"/>
                                                <w:bottom w:val="none" w:sz="0" w:space="0" w:color="auto"/>
                                                <w:right w:val="none" w:sz="0" w:space="0" w:color="auto"/>
                                              </w:divBdr>
                                              <w:divsChild>
                                                <w:div w:id="978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00321124">
      <w:bodyDiv w:val="1"/>
      <w:marLeft w:val="0"/>
      <w:marRight w:val="0"/>
      <w:marTop w:val="0"/>
      <w:marBottom w:val="0"/>
      <w:divBdr>
        <w:top w:val="none" w:sz="0" w:space="0" w:color="auto"/>
        <w:left w:val="none" w:sz="0" w:space="0" w:color="auto"/>
        <w:bottom w:val="none" w:sz="0" w:space="0" w:color="auto"/>
        <w:right w:val="none" w:sz="0" w:space="0" w:color="auto"/>
      </w:divBdr>
    </w:div>
    <w:div w:id="722023252">
      <w:bodyDiv w:val="1"/>
      <w:marLeft w:val="0"/>
      <w:marRight w:val="0"/>
      <w:marTop w:val="0"/>
      <w:marBottom w:val="0"/>
      <w:divBdr>
        <w:top w:val="none" w:sz="0" w:space="0" w:color="auto"/>
        <w:left w:val="none" w:sz="0" w:space="0" w:color="auto"/>
        <w:bottom w:val="none" w:sz="0" w:space="0" w:color="auto"/>
        <w:right w:val="none" w:sz="0" w:space="0" w:color="auto"/>
      </w:divBdr>
    </w:div>
    <w:div w:id="746659560">
      <w:bodyDiv w:val="1"/>
      <w:marLeft w:val="0"/>
      <w:marRight w:val="0"/>
      <w:marTop w:val="0"/>
      <w:marBottom w:val="0"/>
      <w:divBdr>
        <w:top w:val="none" w:sz="0" w:space="0" w:color="auto"/>
        <w:left w:val="none" w:sz="0" w:space="0" w:color="auto"/>
        <w:bottom w:val="none" w:sz="0" w:space="0" w:color="auto"/>
        <w:right w:val="none" w:sz="0" w:space="0" w:color="auto"/>
      </w:divBdr>
    </w:div>
    <w:div w:id="753821918">
      <w:bodyDiv w:val="1"/>
      <w:marLeft w:val="0"/>
      <w:marRight w:val="0"/>
      <w:marTop w:val="0"/>
      <w:marBottom w:val="0"/>
      <w:divBdr>
        <w:top w:val="none" w:sz="0" w:space="0" w:color="auto"/>
        <w:left w:val="none" w:sz="0" w:space="0" w:color="auto"/>
        <w:bottom w:val="none" w:sz="0" w:space="0" w:color="auto"/>
        <w:right w:val="none" w:sz="0" w:space="0" w:color="auto"/>
      </w:divBdr>
    </w:div>
    <w:div w:id="759520747">
      <w:bodyDiv w:val="1"/>
      <w:marLeft w:val="0"/>
      <w:marRight w:val="0"/>
      <w:marTop w:val="0"/>
      <w:marBottom w:val="0"/>
      <w:divBdr>
        <w:top w:val="none" w:sz="0" w:space="0" w:color="auto"/>
        <w:left w:val="none" w:sz="0" w:space="0" w:color="auto"/>
        <w:bottom w:val="none" w:sz="0" w:space="0" w:color="auto"/>
        <w:right w:val="none" w:sz="0" w:space="0" w:color="auto"/>
      </w:divBdr>
    </w:div>
    <w:div w:id="780952768">
      <w:bodyDiv w:val="1"/>
      <w:marLeft w:val="0"/>
      <w:marRight w:val="0"/>
      <w:marTop w:val="0"/>
      <w:marBottom w:val="0"/>
      <w:divBdr>
        <w:top w:val="none" w:sz="0" w:space="0" w:color="auto"/>
        <w:left w:val="none" w:sz="0" w:space="0" w:color="auto"/>
        <w:bottom w:val="none" w:sz="0" w:space="0" w:color="auto"/>
        <w:right w:val="none" w:sz="0" w:space="0" w:color="auto"/>
      </w:divBdr>
    </w:div>
    <w:div w:id="783115664">
      <w:bodyDiv w:val="1"/>
      <w:marLeft w:val="0"/>
      <w:marRight w:val="0"/>
      <w:marTop w:val="0"/>
      <w:marBottom w:val="0"/>
      <w:divBdr>
        <w:top w:val="none" w:sz="0" w:space="0" w:color="auto"/>
        <w:left w:val="none" w:sz="0" w:space="0" w:color="auto"/>
        <w:bottom w:val="none" w:sz="0" w:space="0" w:color="auto"/>
        <w:right w:val="none" w:sz="0" w:space="0" w:color="auto"/>
      </w:divBdr>
    </w:div>
    <w:div w:id="834802045">
      <w:bodyDiv w:val="1"/>
      <w:marLeft w:val="0"/>
      <w:marRight w:val="0"/>
      <w:marTop w:val="0"/>
      <w:marBottom w:val="0"/>
      <w:divBdr>
        <w:top w:val="none" w:sz="0" w:space="0" w:color="auto"/>
        <w:left w:val="none" w:sz="0" w:space="0" w:color="auto"/>
        <w:bottom w:val="none" w:sz="0" w:space="0" w:color="auto"/>
        <w:right w:val="none" w:sz="0" w:space="0" w:color="auto"/>
      </w:divBdr>
    </w:div>
    <w:div w:id="850683484">
      <w:bodyDiv w:val="1"/>
      <w:marLeft w:val="0"/>
      <w:marRight w:val="0"/>
      <w:marTop w:val="0"/>
      <w:marBottom w:val="0"/>
      <w:divBdr>
        <w:top w:val="none" w:sz="0" w:space="0" w:color="auto"/>
        <w:left w:val="none" w:sz="0" w:space="0" w:color="auto"/>
        <w:bottom w:val="none" w:sz="0" w:space="0" w:color="auto"/>
        <w:right w:val="none" w:sz="0" w:space="0" w:color="auto"/>
      </w:divBdr>
    </w:div>
    <w:div w:id="894589239">
      <w:bodyDiv w:val="1"/>
      <w:marLeft w:val="0"/>
      <w:marRight w:val="0"/>
      <w:marTop w:val="0"/>
      <w:marBottom w:val="0"/>
      <w:divBdr>
        <w:top w:val="none" w:sz="0" w:space="0" w:color="auto"/>
        <w:left w:val="none" w:sz="0" w:space="0" w:color="auto"/>
        <w:bottom w:val="none" w:sz="0" w:space="0" w:color="auto"/>
        <w:right w:val="none" w:sz="0" w:space="0" w:color="auto"/>
      </w:divBdr>
    </w:div>
    <w:div w:id="898637241">
      <w:bodyDiv w:val="1"/>
      <w:marLeft w:val="0"/>
      <w:marRight w:val="0"/>
      <w:marTop w:val="0"/>
      <w:marBottom w:val="0"/>
      <w:divBdr>
        <w:top w:val="none" w:sz="0" w:space="0" w:color="auto"/>
        <w:left w:val="none" w:sz="0" w:space="0" w:color="auto"/>
        <w:bottom w:val="none" w:sz="0" w:space="0" w:color="auto"/>
        <w:right w:val="none" w:sz="0" w:space="0" w:color="auto"/>
      </w:divBdr>
    </w:div>
    <w:div w:id="918249240">
      <w:bodyDiv w:val="1"/>
      <w:marLeft w:val="0"/>
      <w:marRight w:val="0"/>
      <w:marTop w:val="0"/>
      <w:marBottom w:val="0"/>
      <w:divBdr>
        <w:top w:val="none" w:sz="0" w:space="0" w:color="auto"/>
        <w:left w:val="none" w:sz="0" w:space="0" w:color="auto"/>
        <w:bottom w:val="none" w:sz="0" w:space="0" w:color="auto"/>
        <w:right w:val="none" w:sz="0" w:space="0" w:color="auto"/>
      </w:divBdr>
    </w:div>
    <w:div w:id="948512546">
      <w:bodyDiv w:val="1"/>
      <w:marLeft w:val="0"/>
      <w:marRight w:val="0"/>
      <w:marTop w:val="0"/>
      <w:marBottom w:val="0"/>
      <w:divBdr>
        <w:top w:val="none" w:sz="0" w:space="0" w:color="auto"/>
        <w:left w:val="none" w:sz="0" w:space="0" w:color="auto"/>
        <w:bottom w:val="none" w:sz="0" w:space="0" w:color="auto"/>
        <w:right w:val="none" w:sz="0" w:space="0" w:color="auto"/>
      </w:divBdr>
    </w:div>
    <w:div w:id="963191429">
      <w:bodyDiv w:val="1"/>
      <w:marLeft w:val="0"/>
      <w:marRight w:val="0"/>
      <w:marTop w:val="0"/>
      <w:marBottom w:val="0"/>
      <w:divBdr>
        <w:top w:val="none" w:sz="0" w:space="0" w:color="auto"/>
        <w:left w:val="none" w:sz="0" w:space="0" w:color="auto"/>
        <w:bottom w:val="none" w:sz="0" w:space="0" w:color="auto"/>
        <w:right w:val="none" w:sz="0" w:space="0" w:color="auto"/>
      </w:divBdr>
    </w:div>
    <w:div w:id="969827962">
      <w:bodyDiv w:val="1"/>
      <w:marLeft w:val="0"/>
      <w:marRight w:val="0"/>
      <w:marTop w:val="0"/>
      <w:marBottom w:val="0"/>
      <w:divBdr>
        <w:top w:val="none" w:sz="0" w:space="0" w:color="auto"/>
        <w:left w:val="none" w:sz="0" w:space="0" w:color="auto"/>
        <w:bottom w:val="none" w:sz="0" w:space="0" w:color="auto"/>
        <w:right w:val="none" w:sz="0" w:space="0" w:color="auto"/>
      </w:divBdr>
    </w:div>
    <w:div w:id="970522853">
      <w:bodyDiv w:val="1"/>
      <w:marLeft w:val="0"/>
      <w:marRight w:val="0"/>
      <w:marTop w:val="0"/>
      <w:marBottom w:val="0"/>
      <w:divBdr>
        <w:top w:val="none" w:sz="0" w:space="0" w:color="auto"/>
        <w:left w:val="none" w:sz="0" w:space="0" w:color="auto"/>
        <w:bottom w:val="none" w:sz="0" w:space="0" w:color="auto"/>
        <w:right w:val="none" w:sz="0" w:space="0" w:color="auto"/>
      </w:divBdr>
    </w:div>
    <w:div w:id="971331780">
      <w:bodyDiv w:val="1"/>
      <w:marLeft w:val="0"/>
      <w:marRight w:val="0"/>
      <w:marTop w:val="0"/>
      <w:marBottom w:val="0"/>
      <w:divBdr>
        <w:top w:val="none" w:sz="0" w:space="0" w:color="auto"/>
        <w:left w:val="none" w:sz="0" w:space="0" w:color="auto"/>
        <w:bottom w:val="none" w:sz="0" w:space="0" w:color="auto"/>
        <w:right w:val="none" w:sz="0" w:space="0" w:color="auto"/>
      </w:divBdr>
    </w:div>
    <w:div w:id="1011644279">
      <w:bodyDiv w:val="1"/>
      <w:marLeft w:val="0"/>
      <w:marRight w:val="0"/>
      <w:marTop w:val="0"/>
      <w:marBottom w:val="0"/>
      <w:divBdr>
        <w:top w:val="none" w:sz="0" w:space="0" w:color="auto"/>
        <w:left w:val="none" w:sz="0" w:space="0" w:color="auto"/>
        <w:bottom w:val="none" w:sz="0" w:space="0" w:color="auto"/>
        <w:right w:val="none" w:sz="0" w:space="0" w:color="auto"/>
      </w:divBdr>
    </w:div>
    <w:div w:id="1034889277">
      <w:bodyDiv w:val="1"/>
      <w:marLeft w:val="0"/>
      <w:marRight w:val="0"/>
      <w:marTop w:val="0"/>
      <w:marBottom w:val="0"/>
      <w:divBdr>
        <w:top w:val="none" w:sz="0" w:space="0" w:color="auto"/>
        <w:left w:val="none" w:sz="0" w:space="0" w:color="auto"/>
        <w:bottom w:val="none" w:sz="0" w:space="0" w:color="auto"/>
        <w:right w:val="none" w:sz="0" w:space="0" w:color="auto"/>
      </w:divBdr>
    </w:div>
    <w:div w:id="1047728712">
      <w:bodyDiv w:val="1"/>
      <w:marLeft w:val="0"/>
      <w:marRight w:val="0"/>
      <w:marTop w:val="0"/>
      <w:marBottom w:val="0"/>
      <w:divBdr>
        <w:top w:val="none" w:sz="0" w:space="0" w:color="auto"/>
        <w:left w:val="none" w:sz="0" w:space="0" w:color="auto"/>
        <w:bottom w:val="none" w:sz="0" w:space="0" w:color="auto"/>
        <w:right w:val="none" w:sz="0" w:space="0" w:color="auto"/>
      </w:divBdr>
    </w:div>
    <w:div w:id="1050809591">
      <w:bodyDiv w:val="1"/>
      <w:marLeft w:val="0"/>
      <w:marRight w:val="0"/>
      <w:marTop w:val="0"/>
      <w:marBottom w:val="0"/>
      <w:divBdr>
        <w:top w:val="none" w:sz="0" w:space="0" w:color="auto"/>
        <w:left w:val="none" w:sz="0" w:space="0" w:color="auto"/>
        <w:bottom w:val="none" w:sz="0" w:space="0" w:color="auto"/>
        <w:right w:val="none" w:sz="0" w:space="0" w:color="auto"/>
      </w:divBdr>
    </w:div>
    <w:div w:id="1053774962">
      <w:bodyDiv w:val="1"/>
      <w:marLeft w:val="0"/>
      <w:marRight w:val="0"/>
      <w:marTop w:val="0"/>
      <w:marBottom w:val="0"/>
      <w:divBdr>
        <w:top w:val="none" w:sz="0" w:space="0" w:color="auto"/>
        <w:left w:val="none" w:sz="0" w:space="0" w:color="auto"/>
        <w:bottom w:val="none" w:sz="0" w:space="0" w:color="auto"/>
        <w:right w:val="none" w:sz="0" w:space="0" w:color="auto"/>
      </w:divBdr>
    </w:div>
    <w:div w:id="1059744009">
      <w:bodyDiv w:val="1"/>
      <w:marLeft w:val="0"/>
      <w:marRight w:val="0"/>
      <w:marTop w:val="0"/>
      <w:marBottom w:val="0"/>
      <w:divBdr>
        <w:top w:val="none" w:sz="0" w:space="0" w:color="auto"/>
        <w:left w:val="none" w:sz="0" w:space="0" w:color="auto"/>
        <w:bottom w:val="none" w:sz="0" w:space="0" w:color="auto"/>
        <w:right w:val="none" w:sz="0" w:space="0" w:color="auto"/>
      </w:divBdr>
    </w:div>
    <w:div w:id="1064571586">
      <w:bodyDiv w:val="1"/>
      <w:marLeft w:val="0"/>
      <w:marRight w:val="0"/>
      <w:marTop w:val="0"/>
      <w:marBottom w:val="0"/>
      <w:divBdr>
        <w:top w:val="none" w:sz="0" w:space="0" w:color="auto"/>
        <w:left w:val="none" w:sz="0" w:space="0" w:color="auto"/>
        <w:bottom w:val="none" w:sz="0" w:space="0" w:color="auto"/>
        <w:right w:val="none" w:sz="0" w:space="0" w:color="auto"/>
      </w:divBdr>
    </w:div>
    <w:div w:id="1073743299">
      <w:bodyDiv w:val="1"/>
      <w:marLeft w:val="0"/>
      <w:marRight w:val="0"/>
      <w:marTop w:val="0"/>
      <w:marBottom w:val="0"/>
      <w:divBdr>
        <w:top w:val="none" w:sz="0" w:space="0" w:color="auto"/>
        <w:left w:val="none" w:sz="0" w:space="0" w:color="auto"/>
        <w:bottom w:val="none" w:sz="0" w:space="0" w:color="auto"/>
        <w:right w:val="none" w:sz="0" w:space="0" w:color="auto"/>
      </w:divBdr>
    </w:div>
    <w:div w:id="1079012617">
      <w:bodyDiv w:val="1"/>
      <w:marLeft w:val="0"/>
      <w:marRight w:val="0"/>
      <w:marTop w:val="0"/>
      <w:marBottom w:val="0"/>
      <w:divBdr>
        <w:top w:val="none" w:sz="0" w:space="0" w:color="auto"/>
        <w:left w:val="none" w:sz="0" w:space="0" w:color="auto"/>
        <w:bottom w:val="none" w:sz="0" w:space="0" w:color="auto"/>
        <w:right w:val="none" w:sz="0" w:space="0" w:color="auto"/>
      </w:divBdr>
    </w:div>
    <w:div w:id="1091782856">
      <w:bodyDiv w:val="1"/>
      <w:marLeft w:val="0"/>
      <w:marRight w:val="0"/>
      <w:marTop w:val="0"/>
      <w:marBottom w:val="0"/>
      <w:divBdr>
        <w:top w:val="none" w:sz="0" w:space="0" w:color="auto"/>
        <w:left w:val="none" w:sz="0" w:space="0" w:color="auto"/>
        <w:bottom w:val="none" w:sz="0" w:space="0" w:color="auto"/>
        <w:right w:val="none" w:sz="0" w:space="0" w:color="auto"/>
      </w:divBdr>
    </w:div>
    <w:div w:id="1115754363">
      <w:bodyDiv w:val="1"/>
      <w:marLeft w:val="0"/>
      <w:marRight w:val="0"/>
      <w:marTop w:val="0"/>
      <w:marBottom w:val="0"/>
      <w:divBdr>
        <w:top w:val="none" w:sz="0" w:space="0" w:color="auto"/>
        <w:left w:val="none" w:sz="0" w:space="0" w:color="auto"/>
        <w:bottom w:val="none" w:sz="0" w:space="0" w:color="auto"/>
        <w:right w:val="none" w:sz="0" w:space="0" w:color="auto"/>
      </w:divBdr>
    </w:div>
    <w:div w:id="1117259778">
      <w:bodyDiv w:val="1"/>
      <w:marLeft w:val="0"/>
      <w:marRight w:val="0"/>
      <w:marTop w:val="0"/>
      <w:marBottom w:val="0"/>
      <w:divBdr>
        <w:top w:val="none" w:sz="0" w:space="0" w:color="auto"/>
        <w:left w:val="none" w:sz="0" w:space="0" w:color="auto"/>
        <w:bottom w:val="none" w:sz="0" w:space="0" w:color="auto"/>
        <w:right w:val="none" w:sz="0" w:space="0" w:color="auto"/>
      </w:divBdr>
    </w:div>
    <w:div w:id="1123380521">
      <w:bodyDiv w:val="1"/>
      <w:marLeft w:val="0"/>
      <w:marRight w:val="0"/>
      <w:marTop w:val="0"/>
      <w:marBottom w:val="0"/>
      <w:divBdr>
        <w:top w:val="none" w:sz="0" w:space="0" w:color="auto"/>
        <w:left w:val="none" w:sz="0" w:space="0" w:color="auto"/>
        <w:bottom w:val="none" w:sz="0" w:space="0" w:color="auto"/>
        <w:right w:val="none" w:sz="0" w:space="0" w:color="auto"/>
      </w:divBdr>
    </w:div>
    <w:div w:id="1171722296">
      <w:bodyDiv w:val="1"/>
      <w:marLeft w:val="0"/>
      <w:marRight w:val="0"/>
      <w:marTop w:val="0"/>
      <w:marBottom w:val="0"/>
      <w:divBdr>
        <w:top w:val="none" w:sz="0" w:space="0" w:color="auto"/>
        <w:left w:val="none" w:sz="0" w:space="0" w:color="auto"/>
        <w:bottom w:val="none" w:sz="0" w:space="0" w:color="auto"/>
        <w:right w:val="none" w:sz="0" w:space="0" w:color="auto"/>
      </w:divBdr>
    </w:div>
    <w:div w:id="1205950088">
      <w:bodyDiv w:val="1"/>
      <w:marLeft w:val="0"/>
      <w:marRight w:val="0"/>
      <w:marTop w:val="0"/>
      <w:marBottom w:val="0"/>
      <w:divBdr>
        <w:top w:val="none" w:sz="0" w:space="0" w:color="auto"/>
        <w:left w:val="none" w:sz="0" w:space="0" w:color="auto"/>
        <w:bottom w:val="none" w:sz="0" w:space="0" w:color="auto"/>
        <w:right w:val="none" w:sz="0" w:space="0" w:color="auto"/>
      </w:divBdr>
    </w:div>
    <w:div w:id="1215847755">
      <w:bodyDiv w:val="1"/>
      <w:marLeft w:val="0"/>
      <w:marRight w:val="0"/>
      <w:marTop w:val="0"/>
      <w:marBottom w:val="0"/>
      <w:divBdr>
        <w:top w:val="none" w:sz="0" w:space="0" w:color="auto"/>
        <w:left w:val="none" w:sz="0" w:space="0" w:color="auto"/>
        <w:bottom w:val="none" w:sz="0" w:space="0" w:color="auto"/>
        <w:right w:val="none" w:sz="0" w:space="0" w:color="auto"/>
      </w:divBdr>
    </w:div>
    <w:div w:id="1314136421">
      <w:bodyDiv w:val="1"/>
      <w:marLeft w:val="0"/>
      <w:marRight w:val="0"/>
      <w:marTop w:val="0"/>
      <w:marBottom w:val="0"/>
      <w:divBdr>
        <w:top w:val="none" w:sz="0" w:space="0" w:color="auto"/>
        <w:left w:val="none" w:sz="0" w:space="0" w:color="auto"/>
        <w:bottom w:val="none" w:sz="0" w:space="0" w:color="auto"/>
        <w:right w:val="none" w:sz="0" w:space="0" w:color="auto"/>
      </w:divBdr>
    </w:div>
    <w:div w:id="1326325620">
      <w:bodyDiv w:val="1"/>
      <w:marLeft w:val="0"/>
      <w:marRight w:val="0"/>
      <w:marTop w:val="0"/>
      <w:marBottom w:val="0"/>
      <w:divBdr>
        <w:top w:val="none" w:sz="0" w:space="0" w:color="auto"/>
        <w:left w:val="none" w:sz="0" w:space="0" w:color="auto"/>
        <w:bottom w:val="none" w:sz="0" w:space="0" w:color="auto"/>
        <w:right w:val="none" w:sz="0" w:space="0" w:color="auto"/>
      </w:divBdr>
    </w:div>
    <w:div w:id="1338195515">
      <w:bodyDiv w:val="1"/>
      <w:marLeft w:val="0"/>
      <w:marRight w:val="0"/>
      <w:marTop w:val="0"/>
      <w:marBottom w:val="0"/>
      <w:divBdr>
        <w:top w:val="none" w:sz="0" w:space="0" w:color="auto"/>
        <w:left w:val="none" w:sz="0" w:space="0" w:color="auto"/>
        <w:bottom w:val="none" w:sz="0" w:space="0" w:color="auto"/>
        <w:right w:val="none" w:sz="0" w:space="0" w:color="auto"/>
      </w:divBdr>
    </w:div>
    <w:div w:id="1344284982">
      <w:bodyDiv w:val="1"/>
      <w:marLeft w:val="0"/>
      <w:marRight w:val="0"/>
      <w:marTop w:val="0"/>
      <w:marBottom w:val="0"/>
      <w:divBdr>
        <w:top w:val="none" w:sz="0" w:space="0" w:color="auto"/>
        <w:left w:val="none" w:sz="0" w:space="0" w:color="auto"/>
        <w:bottom w:val="none" w:sz="0" w:space="0" w:color="auto"/>
        <w:right w:val="none" w:sz="0" w:space="0" w:color="auto"/>
      </w:divBdr>
    </w:div>
    <w:div w:id="1356804184">
      <w:bodyDiv w:val="1"/>
      <w:marLeft w:val="0"/>
      <w:marRight w:val="0"/>
      <w:marTop w:val="0"/>
      <w:marBottom w:val="0"/>
      <w:divBdr>
        <w:top w:val="none" w:sz="0" w:space="0" w:color="auto"/>
        <w:left w:val="none" w:sz="0" w:space="0" w:color="auto"/>
        <w:bottom w:val="none" w:sz="0" w:space="0" w:color="auto"/>
        <w:right w:val="none" w:sz="0" w:space="0" w:color="auto"/>
      </w:divBdr>
    </w:div>
    <w:div w:id="1387798655">
      <w:bodyDiv w:val="1"/>
      <w:marLeft w:val="0"/>
      <w:marRight w:val="0"/>
      <w:marTop w:val="0"/>
      <w:marBottom w:val="0"/>
      <w:divBdr>
        <w:top w:val="none" w:sz="0" w:space="0" w:color="auto"/>
        <w:left w:val="none" w:sz="0" w:space="0" w:color="auto"/>
        <w:bottom w:val="none" w:sz="0" w:space="0" w:color="auto"/>
        <w:right w:val="none" w:sz="0" w:space="0" w:color="auto"/>
      </w:divBdr>
    </w:div>
    <w:div w:id="1397170227">
      <w:bodyDiv w:val="1"/>
      <w:marLeft w:val="0"/>
      <w:marRight w:val="0"/>
      <w:marTop w:val="0"/>
      <w:marBottom w:val="0"/>
      <w:divBdr>
        <w:top w:val="none" w:sz="0" w:space="0" w:color="auto"/>
        <w:left w:val="none" w:sz="0" w:space="0" w:color="auto"/>
        <w:bottom w:val="none" w:sz="0" w:space="0" w:color="auto"/>
        <w:right w:val="none" w:sz="0" w:space="0" w:color="auto"/>
      </w:divBdr>
    </w:div>
    <w:div w:id="1399744606">
      <w:bodyDiv w:val="1"/>
      <w:marLeft w:val="0"/>
      <w:marRight w:val="0"/>
      <w:marTop w:val="0"/>
      <w:marBottom w:val="0"/>
      <w:divBdr>
        <w:top w:val="none" w:sz="0" w:space="0" w:color="auto"/>
        <w:left w:val="none" w:sz="0" w:space="0" w:color="auto"/>
        <w:bottom w:val="none" w:sz="0" w:space="0" w:color="auto"/>
        <w:right w:val="none" w:sz="0" w:space="0" w:color="auto"/>
      </w:divBdr>
    </w:div>
    <w:div w:id="1516574072">
      <w:bodyDiv w:val="1"/>
      <w:marLeft w:val="0"/>
      <w:marRight w:val="0"/>
      <w:marTop w:val="0"/>
      <w:marBottom w:val="0"/>
      <w:divBdr>
        <w:top w:val="none" w:sz="0" w:space="0" w:color="auto"/>
        <w:left w:val="none" w:sz="0" w:space="0" w:color="auto"/>
        <w:bottom w:val="none" w:sz="0" w:space="0" w:color="auto"/>
        <w:right w:val="none" w:sz="0" w:space="0" w:color="auto"/>
      </w:divBdr>
    </w:div>
    <w:div w:id="1518495414">
      <w:bodyDiv w:val="1"/>
      <w:marLeft w:val="0"/>
      <w:marRight w:val="0"/>
      <w:marTop w:val="0"/>
      <w:marBottom w:val="0"/>
      <w:divBdr>
        <w:top w:val="none" w:sz="0" w:space="0" w:color="auto"/>
        <w:left w:val="none" w:sz="0" w:space="0" w:color="auto"/>
        <w:bottom w:val="none" w:sz="0" w:space="0" w:color="auto"/>
        <w:right w:val="none" w:sz="0" w:space="0" w:color="auto"/>
      </w:divBdr>
    </w:div>
    <w:div w:id="1521044025">
      <w:bodyDiv w:val="1"/>
      <w:marLeft w:val="0"/>
      <w:marRight w:val="0"/>
      <w:marTop w:val="0"/>
      <w:marBottom w:val="0"/>
      <w:divBdr>
        <w:top w:val="none" w:sz="0" w:space="0" w:color="auto"/>
        <w:left w:val="none" w:sz="0" w:space="0" w:color="auto"/>
        <w:bottom w:val="none" w:sz="0" w:space="0" w:color="auto"/>
        <w:right w:val="none" w:sz="0" w:space="0" w:color="auto"/>
      </w:divBdr>
    </w:div>
    <w:div w:id="1521578274">
      <w:bodyDiv w:val="1"/>
      <w:marLeft w:val="0"/>
      <w:marRight w:val="0"/>
      <w:marTop w:val="0"/>
      <w:marBottom w:val="0"/>
      <w:divBdr>
        <w:top w:val="none" w:sz="0" w:space="0" w:color="auto"/>
        <w:left w:val="none" w:sz="0" w:space="0" w:color="auto"/>
        <w:bottom w:val="none" w:sz="0" w:space="0" w:color="auto"/>
        <w:right w:val="none" w:sz="0" w:space="0" w:color="auto"/>
      </w:divBdr>
    </w:div>
    <w:div w:id="1524973239">
      <w:bodyDiv w:val="1"/>
      <w:marLeft w:val="0"/>
      <w:marRight w:val="0"/>
      <w:marTop w:val="0"/>
      <w:marBottom w:val="0"/>
      <w:divBdr>
        <w:top w:val="none" w:sz="0" w:space="0" w:color="auto"/>
        <w:left w:val="none" w:sz="0" w:space="0" w:color="auto"/>
        <w:bottom w:val="none" w:sz="0" w:space="0" w:color="auto"/>
        <w:right w:val="none" w:sz="0" w:space="0" w:color="auto"/>
      </w:divBdr>
    </w:div>
    <w:div w:id="1597787615">
      <w:bodyDiv w:val="1"/>
      <w:marLeft w:val="0"/>
      <w:marRight w:val="0"/>
      <w:marTop w:val="0"/>
      <w:marBottom w:val="0"/>
      <w:divBdr>
        <w:top w:val="none" w:sz="0" w:space="0" w:color="auto"/>
        <w:left w:val="none" w:sz="0" w:space="0" w:color="auto"/>
        <w:bottom w:val="none" w:sz="0" w:space="0" w:color="auto"/>
        <w:right w:val="none" w:sz="0" w:space="0" w:color="auto"/>
      </w:divBdr>
    </w:div>
    <w:div w:id="1642270804">
      <w:bodyDiv w:val="1"/>
      <w:marLeft w:val="0"/>
      <w:marRight w:val="0"/>
      <w:marTop w:val="0"/>
      <w:marBottom w:val="0"/>
      <w:divBdr>
        <w:top w:val="none" w:sz="0" w:space="0" w:color="auto"/>
        <w:left w:val="none" w:sz="0" w:space="0" w:color="auto"/>
        <w:bottom w:val="none" w:sz="0" w:space="0" w:color="auto"/>
        <w:right w:val="none" w:sz="0" w:space="0" w:color="auto"/>
      </w:divBdr>
    </w:div>
    <w:div w:id="1648362349">
      <w:bodyDiv w:val="1"/>
      <w:marLeft w:val="0"/>
      <w:marRight w:val="0"/>
      <w:marTop w:val="0"/>
      <w:marBottom w:val="0"/>
      <w:divBdr>
        <w:top w:val="none" w:sz="0" w:space="0" w:color="auto"/>
        <w:left w:val="none" w:sz="0" w:space="0" w:color="auto"/>
        <w:bottom w:val="none" w:sz="0" w:space="0" w:color="auto"/>
        <w:right w:val="none" w:sz="0" w:space="0" w:color="auto"/>
      </w:divBdr>
    </w:div>
    <w:div w:id="1652827484">
      <w:bodyDiv w:val="1"/>
      <w:marLeft w:val="0"/>
      <w:marRight w:val="0"/>
      <w:marTop w:val="0"/>
      <w:marBottom w:val="0"/>
      <w:divBdr>
        <w:top w:val="none" w:sz="0" w:space="0" w:color="auto"/>
        <w:left w:val="none" w:sz="0" w:space="0" w:color="auto"/>
        <w:bottom w:val="none" w:sz="0" w:space="0" w:color="auto"/>
        <w:right w:val="none" w:sz="0" w:space="0" w:color="auto"/>
      </w:divBdr>
    </w:div>
    <w:div w:id="1696808160">
      <w:bodyDiv w:val="1"/>
      <w:marLeft w:val="0"/>
      <w:marRight w:val="0"/>
      <w:marTop w:val="0"/>
      <w:marBottom w:val="0"/>
      <w:divBdr>
        <w:top w:val="none" w:sz="0" w:space="0" w:color="auto"/>
        <w:left w:val="none" w:sz="0" w:space="0" w:color="auto"/>
        <w:bottom w:val="none" w:sz="0" w:space="0" w:color="auto"/>
        <w:right w:val="none" w:sz="0" w:space="0" w:color="auto"/>
      </w:divBdr>
    </w:div>
    <w:div w:id="1709142397">
      <w:bodyDiv w:val="1"/>
      <w:marLeft w:val="0"/>
      <w:marRight w:val="0"/>
      <w:marTop w:val="0"/>
      <w:marBottom w:val="0"/>
      <w:divBdr>
        <w:top w:val="none" w:sz="0" w:space="0" w:color="auto"/>
        <w:left w:val="none" w:sz="0" w:space="0" w:color="auto"/>
        <w:bottom w:val="none" w:sz="0" w:space="0" w:color="auto"/>
        <w:right w:val="none" w:sz="0" w:space="0" w:color="auto"/>
      </w:divBdr>
    </w:div>
    <w:div w:id="1720132512">
      <w:bodyDiv w:val="1"/>
      <w:marLeft w:val="0"/>
      <w:marRight w:val="0"/>
      <w:marTop w:val="0"/>
      <w:marBottom w:val="0"/>
      <w:divBdr>
        <w:top w:val="none" w:sz="0" w:space="0" w:color="auto"/>
        <w:left w:val="none" w:sz="0" w:space="0" w:color="auto"/>
        <w:bottom w:val="none" w:sz="0" w:space="0" w:color="auto"/>
        <w:right w:val="none" w:sz="0" w:space="0" w:color="auto"/>
      </w:divBdr>
    </w:div>
    <w:div w:id="1747265862">
      <w:bodyDiv w:val="1"/>
      <w:marLeft w:val="0"/>
      <w:marRight w:val="0"/>
      <w:marTop w:val="0"/>
      <w:marBottom w:val="0"/>
      <w:divBdr>
        <w:top w:val="none" w:sz="0" w:space="0" w:color="auto"/>
        <w:left w:val="none" w:sz="0" w:space="0" w:color="auto"/>
        <w:bottom w:val="none" w:sz="0" w:space="0" w:color="auto"/>
        <w:right w:val="none" w:sz="0" w:space="0" w:color="auto"/>
      </w:divBdr>
    </w:div>
    <w:div w:id="1755785822">
      <w:bodyDiv w:val="1"/>
      <w:marLeft w:val="0"/>
      <w:marRight w:val="0"/>
      <w:marTop w:val="0"/>
      <w:marBottom w:val="0"/>
      <w:divBdr>
        <w:top w:val="none" w:sz="0" w:space="0" w:color="auto"/>
        <w:left w:val="none" w:sz="0" w:space="0" w:color="auto"/>
        <w:bottom w:val="none" w:sz="0" w:space="0" w:color="auto"/>
        <w:right w:val="none" w:sz="0" w:space="0" w:color="auto"/>
      </w:divBdr>
    </w:div>
    <w:div w:id="1766606986">
      <w:bodyDiv w:val="1"/>
      <w:marLeft w:val="0"/>
      <w:marRight w:val="0"/>
      <w:marTop w:val="0"/>
      <w:marBottom w:val="0"/>
      <w:divBdr>
        <w:top w:val="none" w:sz="0" w:space="0" w:color="auto"/>
        <w:left w:val="none" w:sz="0" w:space="0" w:color="auto"/>
        <w:bottom w:val="none" w:sz="0" w:space="0" w:color="auto"/>
        <w:right w:val="none" w:sz="0" w:space="0" w:color="auto"/>
      </w:divBdr>
    </w:div>
    <w:div w:id="1766925886">
      <w:bodyDiv w:val="1"/>
      <w:marLeft w:val="0"/>
      <w:marRight w:val="0"/>
      <w:marTop w:val="0"/>
      <w:marBottom w:val="0"/>
      <w:divBdr>
        <w:top w:val="none" w:sz="0" w:space="0" w:color="auto"/>
        <w:left w:val="none" w:sz="0" w:space="0" w:color="auto"/>
        <w:bottom w:val="none" w:sz="0" w:space="0" w:color="auto"/>
        <w:right w:val="none" w:sz="0" w:space="0" w:color="auto"/>
      </w:divBdr>
    </w:div>
    <w:div w:id="1770082044">
      <w:bodyDiv w:val="1"/>
      <w:marLeft w:val="0"/>
      <w:marRight w:val="0"/>
      <w:marTop w:val="0"/>
      <w:marBottom w:val="0"/>
      <w:divBdr>
        <w:top w:val="none" w:sz="0" w:space="0" w:color="auto"/>
        <w:left w:val="none" w:sz="0" w:space="0" w:color="auto"/>
        <w:bottom w:val="none" w:sz="0" w:space="0" w:color="auto"/>
        <w:right w:val="none" w:sz="0" w:space="0" w:color="auto"/>
      </w:divBdr>
    </w:div>
    <w:div w:id="1780754836">
      <w:bodyDiv w:val="1"/>
      <w:marLeft w:val="0"/>
      <w:marRight w:val="0"/>
      <w:marTop w:val="0"/>
      <w:marBottom w:val="0"/>
      <w:divBdr>
        <w:top w:val="none" w:sz="0" w:space="0" w:color="auto"/>
        <w:left w:val="none" w:sz="0" w:space="0" w:color="auto"/>
        <w:bottom w:val="none" w:sz="0" w:space="0" w:color="auto"/>
        <w:right w:val="none" w:sz="0" w:space="0" w:color="auto"/>
      </w:divBdr>
    </w:div>
    <w:div w:id="1797675865">
      <w:bodyDiv w:val="1"/>
      <w:marLeft w:val="0"/>
      <w:marRight w:val="0"/>
      <w:marTop w:val="0"/>
      <w:marBottom w:val="0"/>
      <w:divBdr>
        <w:top w:val="none" w:sz="0" w:space="0" w:color="auto"/>
        <w:left w:val="none" w:sz="0" w:space="0" w:color="auto"/>
        <w:bottom w:val="none" w:sz="0" w:space="0" w:color="auto"/>
        <w:right w:val="none" w:sz="0" w:space="0" w:color="auto"/>
      </w:divBdr>
    </w:div>
    <w:div w:id="1800220641">
      <w:bodyDiv w:val="1"/>
      <w:marLeft w:val="0"/>
      <w:marRight w:val="0"/>
      <w:marTop w:val="0"/>
      <w:marBottom w:val="0"/>
      <w:divBdr>
        <w:top w:val="none" w:sz="0" w:space="0" w:color="auto"/>
        <w:left w:val="none" w:sz="0" w:space="0" w:color="auto"/>
        <w:bottom w:val="none" w:sz="0" w:space="0" w:color="auto"/>
        <w:right w:val="none" w:sz="0" w:space="0" w:color="auto"/>
      </w:divBdr>
    </w:div>
    <w:div w:id="1834832484">
      <w:bodyDiv w:val="1"/>
      <w:marLeft w:val="0"/>
      <w:marRight w:val="0"/>
      <w:marTop w:val="0"/>
      <w:marBottom w:val="0"/>
      <w:divBdr>
        <w:top w:val="none" w:sz="0" w:space="0" w:color="auto"/>
        <w:left w:val="none" w:sz="0" w:space="0" w:color="auto"/>
        <w:bottom w:val="none" w:sz="0" w:space="0" w:color="auto"/>
        <w:right w:val="none" w:sz="0" w:space="0" w:color="auto"/>
      </w:divBdr>
    </w:div>
    <w:div w:id="1836263259">
      <w:bodyDiv w:val="1"/>
      <w:marLeft w:val="0"/>
      <w:marRight w:val="0"/>
      <w:marTop w:val="0"/>
      <w:marBottom w:val="0"/>
      <w:divBdr>
        <w:top w:val="none" w:sz="0" w:space="0" w:color="auto"/>
        <w:left w:val="none" w:sz="0" w:space="0" w:color="auto"/>
        <w:bottom w:val="none" w:sz="0" w:space="0" w:color="auto"/>
        <w:right w:val="none" w:sz="0" w:space="0" w:color="auto"/>
      </w:divBdr>
    </w:div>
    <w:div w:id="1844281094">
      <w:bodyDiv w:val="1"/>
      <w:marLeft w:val="0"/>
      <w:marRight w:val="0"/>
      <w:marTop w:val="0"/>
      <w:marBottom w:val="0"/>
      <w:divBdr>
        <w:top w:val="none" w:sz="0" w:space="0" w:color="auto"/>
        <w:left w:val="none" w:sz="0" w:space="0" w:color="auto"/>
        <w:bottom w:val="none" w:sz="0" w:space="0" w:color="auto"/>
        <w:right w:val="none" w:sz="0" w:space="0" w:color="auto"/>
      </w:divBdr>
    </w:div>
    <w:div w:id="1849130279">
      <w:bodyDiv w:val="1"/>
      <w:marLeft w:val="0"/>
      <w:marRight w:val="0"/>
      <w:marTop w:val="0"/>
      <w:marBottom w:val="0"/>
      <w:divBdr>
        <w:top w:val="none" w:sz="0" w:space="0" w:color="auto"/>
        <w:left w:val="none" w:sz="0" w:space="0" w:color="auto"/>
        <w:bottom w:val="none" w:sz="0" w:space="0" w:color="auto"/>
        <w:right w:val="none" w:sz="0" w:space="0" w:color="auto"/>
      </w:divBdr>
    </w:div>
    <w:div w:id="1866169228">
      <w:bodyDiv w:val="1"/>
      <w:marLeft w:val="0"/>
      <w:marRight w:val="0"/>
      <w:marTop w:val="0"/>
      <w:marBottom w:val="0"/>
      <w:divBdr>
        <w:top w:val="none" w:sz="0" w:space="0" w:color="auto"/>
        <w:left w:val="none" w:sz="0" w:space="0" w:color="auto"/>
        <w:bottom w:val="none" w:sz="0" w:space="0" w:color="auto"/>
        <w:right w:val="none" w:sz="0" w:space="0" w:color="auto"/>
      </w:divBdr>
    </w:div>
    <w:div w:id="1913849678">
      <w:bodyDiv w:val="1"/>
      <w:marLeft w:val="0"/>
      <w:marRight w:val="0"/>
      <w:marTop w:val="0"/>
      <w:marBottom w:val="0"/>
      <w:divBdr>
        <w:top w:val="none" w:sz="0" w:space="0" w:color="auto"/>
        <w:left w:val="none" w:sz="0" w:space="0" w:color="auto"/>
        <w:bottom w:val="none" w:sz="0" w:space="0" w:color="auto"/>
        <w:right w:val="none" w:sz="0" w:space="0" w:color="auto"/>
      </w:divBdr>
    </w:div>
    <w:div w:id="1929197233">
      <w:bodyDiv w:val="1"/>
      <w:marLeft w:val="0"/>
      <w:marRight w:val="0"/>
      <w:marTop w:val="0"/>
      <w:marBottom w:val="0"/>
      <w:divBdr>
        <w:top w:val="none" w:sz="0" w:space="0" w:color="auto"/>
        <w:left w:val="none" w:sz="0" w:space="0" w:color="auto"/>
        <w:bottom w:val="none" w:sz="0" w:space="0" w:color="auto"/>
        <w:right w:val="none" w:sz="0" w:space="0" w:color="auto"/>
      </w:divBdr>
    </w:div>
    <w:div w:id="1994139761">
      <w:bodyDiv w:val="1"/>
      <w:marLeft w:val="0"/>
      <w:marRight w:val="0"/>
      <w:marTop w:val="0"/>
      <w:marBottom w:val="0"/>
      <w:divBdr>
        <w:top w:val="none" w:sz="0" w:space="0" w:color="auto"/>
        <w:left w:val="none" w:sz="0" w:space="0" w:color="auto"/>
        <w:bottom w:val="none" w:sz="0" w:space="0" w:color="auto"/>
        <w:right w:val="none" w:sz="0" w:space="0" w:color="auto"/>
      </w:divBdr>
    </w:div>
    <w:div w:id="2000426278">
      <w:bodyDiv w:val="1"/>
      <w:marLeft w:val="0"/>
      <w:marRight w:val="0"/>
      <w:marTop w:val="0"/>
      <w:marBottom w:val="0"/>
      <w:divBdr>
        <w:top w:val="none" w:sz="0" w:space="0" w:color="auto"/>
        <w:left w:val="none" w:sz="0" w:space="0" w:color="auto"/>
        <w:bottom w:val="none" w:sz="0" w:space="0" w:color="auto"/>
        <w:right w:val="none" w:sz="0" w:space="0" w:color="auto"/>
      </w:divBdr>
    </w:div>
    <w:div w:id="2012760175">
      <w:bodyDiv w:val="1"/>
      <w:marLeft w:val="0"/>
      <w:marRight w:val="0"/>
      <w:marTop w:val="0"/>
      <w:marBottom w:val="0"/>
      <w:divBdr>
        <w:top w:val="none" w:sz="0" w:space="0" w:color="auto"/>
        <w:left w:val="none" w:sz="0" w:space="0" w:color="auto"/>
        <w:bottom w:val="none" w:sz="0" w:space="0" w:color="auto"/>
        <w:right w:val="none" w:sz="0" w:space="0" w:color="auto"/>
      </w:divBdr>
      <w:divsChild>
        <w:div w:id="566378594">
          <w:marLeft w:val="0"/>
          <w:marRight w:val="0"/>
          <w:marTop w:val="0"/>
          <w:marBottom w:val="0"/>
          <w:divBdr>
            <w:top w:val="none" w:sz="0" w:space="0" w:color="auto"/>
            <w:left w:val="none" w:sz="0" w:space="0" w:color="auto"/>
            <w:bottom w:val="none" w:sz="0" w:space="0" w:color="auto"/>
            <w:right w:val="none" w:sz="0" w:space="0" w:color="auto"/>
          </w:divBdr>
          <w:divsChild>
            <w:div w:id="149784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13832">
      <w:bodyDiv w:val="1"/>
      <w:marLeft w:val="0"/>
      <w:marRight w:val="0"/>
      <w:marTop w:val="0"/>
      <w:marBottom w:val="0"/>
      <w:divBdr>
        <w:top w:val="none" w:sz="0" w:space="0" w:color="auto"/>
        <w:left w:val="none" w:sz="0" w:space="0" w:color="auto"/>
        <w:bottom w:val="none" w:sz="0" w:space="0" w:color="auto"/>
        <w:right w:val="none" w:sz="0" w:space="0" w:color="auto"/>
      </w:divBdr>
    </w:div>
    <w:div w:id="2142260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tps://www.tresor.economie.gouv.fr/Articles/tags/Chine-Breveshebdomadaires" TargetMode="External"/><Relationship Id="rId13" Type="http://schemas.openxmlformats.org/officeDocument/2006/relationships/hyperlink" Target="https://www.wind.com.cn/en/edb.html" TargetMode="External"/><Relationship Id="rId18" Type="http://schemas.openxmlformats.org/officeDocument/2006/relationships/hyperlink" Target="http://gks.mof.gov.cn/ztztz/guozaiguanli/gzfxzjs/202006/t20200616_3533452.htm"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s://www.scmp.com/news/china/society/article/3089320/coronavirus-china-halts-salmon-imports-over-possible-link" TargetMode="External"/><Relationship Id="rId17" Type="http://schemas.openxmlformats.org/officeDocument/2006/relationships/hyperlink" Target="https://www.caixinglobal.com/2020-06-15/china-economic-rebound-continues-but-at-slower-pace-than-expected-101567392.htm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scmp.com/economy/china-economy/article/3089036/coronavirus-chinas-industrial-engine-revved-strongly-may" TargetMode="External"/><Relationship Id="rId20" Type="http://schemas.openxmlformats.org/officeDocument/2006/relationships/hyperlink" Target="http://www.mofcom.gov.cn/article/ae/ai/202004/20200402952985.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hinadaily.com.cn/a/202006/17/WS5ee976b5a3108348172538f7.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scmp.com/economy/china-economy/article/3089036/coronavirus-chinas-industrial-engine-revved-strongly-may"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www.scmp.com/news/china/society/article/3089344/beijing-market-coronavirus-cases-rise-137-restrictions-return" TargetMode="External"/><Relationship Id="rId19" Type="http://schemas.openxmlformats.org/officeDocument/2006/relationships/hyperlink" Target="http://www.xinhuanet.com/english/2020-06/12/c_139134264.htm" TargetMode="External"/><Relationship Id="rId4" Type="http://schemas.openxmlformats.org/officeDocument/2006/relationships/settings" Target="settings.xml"/><Relationship Id="rId9" Type="http://schemas.openxmlformats.org/officeDocument/2006/relationships/hyperlink" Target="mailto:orhan.chiali@dgtresor.gouv.fr" TargetMode="External"/><Relationship Id="rId14" Type="http://schemas.openxmlformats.org/officeDocument/2006/relationships/hyperlink" Target="https://www.scmp.com/business/companies/article/3089013/china-eastern-launch-new-airline-hainan-partners-including" TargetMode="External"/><Relationship Id="rId22" Type="http://schemas.openxmlformats.org/officeDocument/2006/relationships/chart" Target="charts/chart1.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chartUserShapes" Target="../drawings/drawing1.xml"/><Relationship Id="rId4" Type="http://schemas.openxmlformats.org/officeDocument/2006/relationships/oleObject" Target="file:///\\S-PEK-SRV16.si.local\PEK$\Travail\Infra\10%20Organisation\7%20-%20Epid&#233;mie%20coronavirus%202020\0%20-%20Sources%20de%20donn&#233;es%20sur%20les%20transports\0%20-%20Stat.%20(hebdo)%20fr&#233;quentation%20par%20Mo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fr-FR" sz="1100" b="1">
                <a:solidFill>
                  <a:sysClr val="windowText" lastClr="000000"/>
                </a:solidFill>
              </a:rPr>
              <a:t>Voyageurs dans les transports collectifs interurbains depuis 13</a:t>
            </a:r>
            <a:r>
              <a:rPr lang="fr-FR" sz="1100" b="1" baseline="0">
                <a:solidFill>
                  <a:sysClr val="windowText" lastClr="000000"/>
                </a:solidFill>
              </a:rPr>
              <a:t> semaines</a:t>
            </a:r>
            <a:endParaRPr lang="fr-FR" sz="1100" b="1">
              <a:solidFill>
                <a:sysClr val="windowText" lastClr="000000"/>
              </a:solidFill>
            </a:endParaRPr>
          </a:p>
        </c:rich>
      </c:tx>
      <c:layout>
        <c:manualLayout>
          <c:xMode val="edge"/>
          <c:yMode val="edge"/>
          <c:x val="9.3742318877980735E-2"/>
          <c:y val="2.2242810930852879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fr-FR"/>
        </a:p>
      </c:txPr>
    </c:title>
    <c:autoTitleDeleted val="0"/>
    <c:plotArea>
      <c:layout/>
      <c:barChart>
        <c:barDir val="col"/>
        <c:grouping val="clustered"/>
        <c:varyColors val="0"/>
        <c:ser>
          <c:idx val="0"/>
          <c:order val="0"/>
          <c:tx>
            <c:strRef>
              <c:f>'Lissage hebdo.'!$C$3</c:f>
              <c:strCache>
                <c:ptCount val="1"/>
                <c:pt idx="0">
                  <c:v>Nombre de voyageurs</c:v>
                </c:pt>
              </c:strCache>
            </c:strRef>
          </c:tx>
          <c:spPr>
            <a:solidFill>
              <a:schemeClr val="accent1"/>
            </a:solidFill>
            <a:ln>
              <a:noFill/>
            </a:ln>
            <a:effectLst/>
          </c:spPr>
          <c:invertIfNegative val="0"/>
          <c:cat>
            <c:strRef>
              <c:f>'Lissage hebdo.'!$B$4:$B$16</c:f>
              <c:strCache>
                <c:ptCount val="13"/>
                <c:pt idx="0">
                  <c:v>Sem. du 2 mars</c:v>
                </c:pt>
                <c:pt idx="1">
                  <c:v>Sem. du 9 mars</c:v>
                </c:pt>
                <c:pt idx="2">
                  <c:v>Sem. du 16 mars</c:v>
                </c:pt>
                <c:pt idx="3">
                  <c:v>Sem. du 23 mars</c:v>
                </c:pt>
                <c:pt idx="4">
                  <c:v>Sem. du 30 mars</c:v>
                </c:pt>
                <c:pt idx="5">
                  <c:v>Sem. du 6 avril</c:v>
                </c:pt>
                <c:pt idx="6">
                  <c:v>Sem. du 13 avril</c:v>
                </c:pt>
                <c:pt idx="7">
                  <c:v>Sem. du 20 avril</c:v>
                </c:pt>
                <c:pt idx="8">
                  <c:v>Sem. du 27 avril</c:v>
                </c:pt>
                <c:pt idx="9">
                  <c:v>Sem. du 4 mai</c:v>
                </c:pt>
                <c:pt idx="10">
                  <c:v>Sem. du 11 mai</c:v>
                </c:pt>
                <c:pt idx="11">
                  <c:v>Sem. du 18 mai</c:v>
                </c:pt>
                <c:pt idx="12">
                  <c:v>Sem. du 25 mai</c:v>
                </c:pt>
              </c:strCache>
            </c:strRef>
          </c:cat>
          <c:val>
            <c:numRef>
              <c:f>'Lissage hebdo.'!$C$4:$C$16</c:f>
              <c:numCache>
                <c:formatCode>#,##0</c:formatCode>
                <c:ptCount val="13"/>
                <c:pt idx="0">
                  <c:v>15909442.857142856</c:v>
                </c:pt>
                <c:pt idx="1">
                  <c:v>16573614.285714285</c:v>
                </c:pt>
                <c:pt idx="2">
                  <c:v>17362242.857142858</c:v>
                </c:pt>
                <c:pt idx="3">
                  <c:v>17972728.571428571</c:v>
                </c:pt>
                <c:pt idx="4">
                  <c:v>19322757.142857142</c:v>
                </c:pt>
                <c:pt idx="5">
                  <c:v>19724228.571428571</c:v>
                </c:pt>
                <c:pt idx="6">
                  <c:v>19807871.428571429</c:v>
                </c:pt>
                <c:pt idx="7">
                  <c:v>19570985.714285713</c:v>
                </c:pt>
                <c:pt idx="8">
                  <c:v>22824700</c:v>
                </c:pt>
                <c:pt idx="9">
                  <c:v>22210771.428571429</c:v>
                </c:pt>
                <c:pt idx="10">
                  <c:v>21773328.571428571</c:v>
                </c:pt>
                <c:pt idx="11">
                  <c:v>22423557.142857142</c:v>
                </c:pt>
                <c:pt idx="12">
                  <c:v>23266557.142857142</c:v>
                </c:pt>
              </c:numCache>
            </c:numRef>
          </c:val>
        </c:ser>
        <c:dLbls>
          <c:showLegendKey val="0"/>
          <c:showVal val="0"/>
          <c:showCatName val="0"/>
          <c:showSerName val="0"/>
          <c:showPercent val="0"/>
          <c:showBubbleSize val="0"/>
        </c:dLbls>
        <c:gapWidth val="219"/>
        <c:overlap val="-27"/>
        <c:axId val="108227296"/>
        <c:axId val="108227688"/>
      </c:barChart>
      <c:lineChart>
        <c:grouping val="standard"/>
        <c:varyColors val="0"/>
        <c:ser>
          <c:idx val="1"/>
          <c:order val="1"/>
          <c:tx>
            <c:strRef>
              <c:f>'Lissage hebdo.'!$D$3</c:f>
              <c:strCache>
                <c:ptCount val="1"/>
                <c:pt idx="0">
                  <c:v>Variation 2019-2020</c:v>
                </c:pt>
              </c:strCache>
            </c:strRef>
          </c:tx>
          <c:spPr>
            <a:ln w="28575" cap="rnd">
              <a:solidFill>
                <a:schemeClr val="accent2"/>
              </a:solidFill>
              <a:round/>
            </a:ln>
            <a:effectLst/>
          </c:spPr>
          <c:marker>
            <c:symbol val="none"/>
          </c:marker>
          <c:cat>
            <c:strRef>
              <c:f>'Lissage hebdo.'!$B$4:$B$16</c:f>
              <c:strCache>
                <c:ptCount val="13"/>
                <c:pt idx="0">
                  <c:v>Sem. du 2 mars</c:v>
                </c:pt>
                <c:pt idx="1">
                  <c:v>Sem. du 9 mars</c:v>
                </c:pt>
                <c:pt idx="2">
                  <c:v>Sem. du 16 mars</c:v>
                </c:pt>
                <c:pt idx="3">
                  <c:v>Sem. du 23 mars</c:v>
                </c:pt>
                <c:pt idx="4">
                  <c:v>Sem. du 30 mars</c:v>
                </c:pt>
                <c:pt idx="5">
                  <c:v>Sem. du 6 avril</c:v>
                </c:pt>
                <c:pt idx="6">
                  <c:v>Sem. du 13 avril</c:v>
                </c:pt>
                <c:pt idx="7">
                  <c:v>Sem. du 20 avril</c:v>
                </c:pt>
                <c:pt idx="8">
                  <c:v>Sem. du 27 avril</c:v>
                </c:pt>
                <c:pt idx="9">
                  <c:v>Sem. du 4 mai</c:v>
                </c:pt>
                <c:pt idx="10">
                  <c:v>Sem. du 11 mai</c:v>
                </c:pt>
                <c:pt idx="11">
                  <c:v>Sem. du 18 mai</c:v>
                </c:pt>
                <c:pt idx="12">
                  <c:v>Sem. du 25 mai</c:v>
                </c:pt>
              </c:strCache>
            </c:strRef>
          </c:cat>
          <c:val>
            <c:numRef>
              <c:f>'Lissage hebdo.'!$D$4:$D$16</c:f>
              <c:numCache>
                <c:formatCode>0.0</c:formatCode>
                <c:ptCount val="13"/>
                <c:pt idx="0">
                  <c:v>-65.422452876821367</c:v>
                </c:pt>
                <c:pt idx="1">
                  <c:v>-64.38277327090897</c:v>
                </c:pt>
                <c:pt idx="2">
                  <c:v>-62.572707470041543</c:v>
                </c:pt>
                <c:pt idx="3">
                  <c:v>-63.199979076493975</c:v>
                </c:pt>
                <c:pt idx="4">
                  <c:v>-60.221630788797306</c:v>
                </c:pt>
                <c:pt idx="5">
                  <c:v>-59.126495355466822</c:v>
                </c:pt>
                <c:pt idx="6">
                  <c:v>-58.661206885641214</c:v>
                </c:pt>
                <c:pt idx="7">
                  <c:v>-58.222825593671004</c:v>
                </c:pt>
                <c:pt idx="8">
                  <c:v>-54.962602003754114</c:v>
                </c:pt>
                <c:pt idx="9">
                  <c:v>-52.31822127123916</c:v>
                </c:pt>
                <c:pt idx="10">
                  <c:v>-52.752223345156054</c:v>
                </c:pt>
                <c:pt idx="11">
                  <c:v>-51.69499417802259</c:v>
                </c:pt>
                <c:pt idx="12">
                  <c:v>-51.757980343265061</c:v>
                </c:pt>
              </c:numCache>
            </c:numRef>
          </c:val>
          <c:smooth val="0"/>
        </c:ser>
        <c:dLbls>
          <c:showLegendKey val="0"/>
          <c:showVal val="0"/>
          <c:showCatName val="0"/>
          <c:showSerName val="0"/>
          <c:showPercent val="0"/>
          <c:showBubbleSize val="0"/>
        </c:dLbls>
        <c:marker val="1"/>
        <c:smooth val="0"/>
        <c:axId val="108229256"/>
        <c:axId val="108228080"/>
      </c:lineChart>
      <c:catAx>
        <c:axId val="1082272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spcFirstLastPara="1" vertOverflow="ellipsis" wrap="square" anchor="ctr" anchorCtr="1"/>
          <a:lstStyle/>
          <a:p>
            <a:pPr>
              <a:defRPr sz="700" b="0" i="0" u="none" strike="noStrike" kern="1200" baseline="0">
                <a:solidFill>
                  <a:sysClr val="windowText" lastClr="000000"/>
                </a:solidFill>
                <a:latin typeface="+mn-lt"/>
                <a:ea typeface="+mn-ea"/>
                <a:cs typeface="+mn-cs"/>
              </a:defRPr>
            </a:pPr>
            <a:endParaRPr lang="fr-FR"/>
          </a:p>
        </c:txPr>
        <c:crossAx val="108227688"/>
        <c:crosses val="autoZero"/>
        <c:auto val="1"/>
        <c:lblAlgn val="ctr"/>
        <c:lblOffset val="100"/>
        <c:noMultiLvlLbl val="0"/>
      </c:catAx>
      <c:valAx>
        <c:axId val="1082276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solidFill>
                      <a:schemeClr val="tx1">
                        <a:lumMod val="95000"/>
                        <a:lumOff val="5000"/>
                      </a:schemeClr>
                    </a:solidFill>
                  </a:rPr>
                  <a:t>Nombre</a:t>
                </a:r>
                <a:r>
                  <a:rPr lang="fr-FR" baseline="0">
                    <a:solidFill>
                      <a:schemeClr val="tx1">
                        <a:lumMod val="95000"/>
                        <a:lumOff val="5000"/>
                      </a:schemeClr>
                    </a:solidFill>
                  </a:rPr>
                  <a:t> de voyageurs quotidiens</a:t>
                </a:r>
                <a:endParaRPr lang="fr-FR">
                  <a:solidFill>
                    <a:schemeClr val="tx1">
                      <a:lumMod val="95000"/>
                      <a:lumOff val="5000"/>
                    </a:schemeClr>
                  </a:solidFill>
                </a:endParaRPr>
              </a:p>
            </c:rich>
          </c:tx>
          <c:layout>
            <c:manualLayout>
              <c:xMode val="edge"/>
              <c:yMode val="edge"/>
              <c:x val="1.4167661067899538E-2"/>
              <c:y val="0.11262189031200066"/>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crossAx val="108227296"/>
        <c:crosses val="autoZero"/>
        <c:crossBetween val="between"/>
      </c:valAx>
      <c:valAx>
        <c:axId val="108228080"/>
        <c:scaling>
          <c:orientation val="minMax"/>
          <c:max val="-20"/>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baseline="0">
                    <a:solidFill>
                      <a:schemeClr val="tx1">
                        <a:lumMod val="95000"/>
                        <a:lumOff val="5000"/>
                      </a:schemeClr>
                    </a:solidFill>
                  </a:rPr>
                  <a:t>Variation 2019-2020 (en %)</a:t>
                </a:r>
              </a:p>
            </c:rich>
          </c:tx>
          <c:layout>
            <c:manualLayout>
              <c:xMode val="edge"/>
              <c:yMode val="edge"/>
              <c:x val="0.94911448399779419"/>
              <c:y val="0.1499714229502607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0" sourceLinked="0"/>
        <c:majorTickMark val="out"/>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ysClr val="windowText" lastClr="000000"/>
                </a:solidFill>
                <a:latin typeface="+mn-lt"/>
                <a:ea typeface="+mn-ea"/>
                <a:cs typeface="+mn-cs"/>
              </a:defRPr>
            </a:pPr>
            <a:endParaRPr lang="fr-FR"/>
          </a:p>
        </c:txPr>
        <c:crossAx val="108229256"/>
        <c:crosses val="max"/>
        <c:crossBetween val="between"/>
      </c:valAx>
      <c:catAx>
        <c:axId val="108229256"/>
        <c:scaling>
          <c:orientation val="minMax"/>
        </c:scaling>
        <c:delete val="1"/>
        <c:axPos val="b"/>
        <c:numFmt formatCode="General" sourceLinked="1"/>
        <c:majorTickMark val="out"/>
        <c:minorTickMark val="none"/>
        <c:tickLblPos val="nextTo"/>
        <c:crossAx val="108228080"/>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95000"/>
                  <a:lumOff val="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spcBef>
          <a:spcPts val="1200"/>
        </a:spcBef>
        <a:defRPr/>
      </a:pPr>
      <a:endParaRPr lang="fr-FR"/>
    </a:p>
  </c:txPr>
  <c:externalData r:id="rId4">
    <c:autoUpdate val="0"/>
  </c:externalData>
  <c:userShapes r:id="rId5"/>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_rels/drawing1.xml.rels><?xml version="1.0" encoding="UTF-8" standalone="yes"?>
<Relationships xmlns="http://schemas.openxmlformats.org/package/2006/relationships"><Relationship Id="rId1" Type="http://schemas.openxmlformats.org/officeDocument/2006/relationships/image" Target="../media/image2.png"/></Relationships>
</file>

<file path=word/drawings/drawing1.xml><?xml version="1.0" encoding="utf-8"?>
<c:userShapes xmlns:c="http://schemas.openxmlformats.org/drawingml/2006/chart">
  <cdr:relSizeAnchor xmlns:cdr="http://schemas.openxmlformats.org/drawingml/2006/chartDrawing">
    <cdr:from>
      <cdr:x>0</cdr:x>
      <cdr:y>0</cdr:y>
    </cdr:from>
    <cdr:to>
      <cdr:x>1</cdr:x>
      <cdr:y>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0" y="0"/>
          <a:ext cx="8742857" cy="5114286"/>
        </a:xfrm>
        <a:prstGeom xmlns:a="http://schemas.openxmlformats.org/drawingml/2006/main" prst="rect">
          <a:avLst/>
        </a:prstGeom>
      </cdr:spPr>
    </cdr:pic>
  </cdr:relSizeAnchor>
</c:userShape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CA4F1-4064-41CB-A6A7-820F622AA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6140</Words>
  <Characters>33775</Characters>
  <Application>Microsoft Office Word</Application>
  <DocSecurity>0</DocSecurity>
  <Lines>281</Lines>
  <Paragraphs>79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DG Trésor</Company>
  <LinksUpToDate>false</LinksUpToDate>
  <CharactersWithSpaces>39836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pierre.martin@dgtresor.gouv.fr</dc:creator>
  <cp:keywords/>
  <dc:description/>
  <cp:lastModifiedBy>GAULTIER Anatole</cp:lastModifiedBy>
  <cp:revision>2</cp:revision>
  <cp:lastPrinted>2020-04-17T07:23:00Z</cp:lastPrinted>
  <dcterms:created xsi:type="dcterms:W3CDTF">2020-06-17T14:38:00Z</dcterms:created>
  <dcterms:modified xsi:type="dcterms:W3CDTF">2020-06-17T14:38:00Z</dcterms:modified>
</cp:coreProperties>
</file>