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5A" w:rsidRDefault="0012005A">
      <w:pPr>
        <w:pStyle w:val="Normal1"/>
        <w:rPr>
          <w:b/>
          <w:color w:val="3CB6EC"/>
          <w:sz w:val="40"/>
          <w:szCs w:val="40"/>
        </w:rPr>
      </w:pPr>
    </w:p>
    <w:p w:rsidR="0012005A" w:rsidRDefault="0012005A">
      <w:pPr>
        <w:pStyle w:val="Normal1"/>
        <w:rPr>
          <w:b/>
          <w:color w:val="3CB6EC"/>
          <w:sz w:val="40"/>
          <w:szCs w:val="40"/>
        </w:rPr>
      </w:pPr>
    </w:p>
    <w:p w:rsidR="0012005A" w:rsidRDefault="0012005A">
      <w:pPr>
        <w:pStyle w:val="Normal1"/>
        <w:rPr>
          <w:b/>
          <w:color w:val="3CB6EC"/>
          <w:sz w:val="40"/>
          <w:szCs w:val="40"/>
        </w:rPr>
      </w:pPr>
    </w:p>
    <w:p w:rsidR="0012005A" w:rsidRDefault="0012005A">
      <w:pPr>
        <w:pStyle w:val="Normal1"/>
        <w:rPr>
          <w:b/>
          <w:color w:val="3CB6EC"/>
          <w:sz w:val="40"/>
          <w:szCs w:val="40"/>
        </w:rPr>
      </w:pPr>
    </w:p>
    <w:p w:rsidR="0012005A" w:rsidRDefault="0012005A">
      <w:pPr>
        <w:pStyle w:val="Normal1"/>
        <w:rPr>
          <w:b/>
          <w:color w:val="3CB6EC"/>
          <w:sz w:val="40"/>
          <w:szCs w:val="40"/>
        </w:rPr>
      </w:pPr>
    </w:p>
    <w:p w:rsidR="0012005A" w:rsidRDefault="00BF238A">
      <w:pPr>
        <w:pStyle w:val="Normal1"/>
        <w:jc w:val="center"/>
        <w:rPr>
          <w:b/>
          <w:color w:val="3CB6EC"/>
          <w:sz w:val="52"/>
        </w:rPr>
      </w:pPr>
      <w:r>
        <w:rPr>
          <w:b/>
          <w:color w:val="3CB6EC"/>
          <w:sz w:val="52"/>
        </w:rPr>
        <w:t>Investissements d’Avenir</w:t>
      </w:r>
    </w:p>
    <w:p w:rsidR="0012005A" w:rsidRDefault="0012005A">
      <w:pPr>
        <w:pStyle w:val="Normal1"/>
        <w:jc w:val="center"/>
        <w:rPr>
          <w:b/>
          <w:color w:val="3CB6EC"/>
          <w:sz w:val="40"/>
          <w:szCs w:val="40"/>
        </w:rPr>
      </w:pPr>
    </w:p>
    <w:p w:rsidR="0012005A" w:rsidRDefault="0012005A">
      <w:pPr>
        <w:pStyle w:val="Normal1"/>
        <w:jc w:val="center"/>
        <w:rPr>
          <w:b/>
          <w:color w:val="3CB6EC"/>
          <w:sz w:val="40"/>
          <w:szCs w:val="40"/>
        </w:rPr>
      </w:pPr>
    </w:p>
    <w:p w:rsidR="0012005A" w:rsidRDefault="0012005A">
      <w:pPr>
        <w:pStyle w:val="Normal1"/>
        <w:jc w:val="center"/>
        <w:rPr>
          <w:b/>
          <w:color w:val="3CB6EC"/>
          <w:sz w:val="40"/>
          <w:szCs w:val="40"/>
        </w:rPr>
      </w:pPr>
    </w:p>
    <w:p w:rsidR="0012005A" w:rsidRDefault="0012005A">
      <w:pPr>
        <w:pStyle w:val="Normal1"/>
        <w:jc w:val="center"/>
        <w:rPr>
          <w:b/>
          <w:color w:val="3CB6EC"/>
          <w:sz w:val="40"/>
          <w:szCs w:val="40"/>
        </w:rPr>
      </w:pPr>
    </w:p>
    <w:p w:rsidR="0012005A" w:rsidRDefault="00BF238A">
      <w:pPr>
        <w:pStyle w:val="Normal1"/>
        <w:jc w:val="center"/>
        <w:rPr>
          <w:b/>
          <w:color w:val="3CB6EC"/>
          <w:sz w:val="40"/>
          <w:szCs w:val="40"/>
        </w:rPr>
      </w:pPr>
      <w:r>
        <w:rPr>
          <w:b/>
          <w:color w:val="3CB6EC"/>
          <w:sz w:val="52"/>
          <w:szCs w:val="40"/>
        </w:rPr>
        <w:t>Concours d’innovation</w:t>
      </w:r>
    </w:p>
    <w:p w:rsidR="0012005A" w:rsidRDefault="00AC506B">
      <w:pPr>
        <w:pStyle w:val="Normal1"/>
        <w:jc w:val="center"/>
        <w:rPr>
          <w:b/>
          <w:color w:val="3CB6EC"/>
          <w:sz w:val="52"/>
          <w:szCs w:val="40"/>
        </w:rPr>
      </w:pPr>
      <w:r>
        <w:rPr>
          <w:b/>
          <w:color w:val="3CB6EC"/>
          <w:sz w:val="52"/>
          <w:szCs w:val="40"/>
        </w:rPr>
        <w:t xml:space="preserve">Pour une </w:t>
      </w:r>
      <w:r w:rsidR="00BF238A">
        <w:rPr>
          <w:b/>
          <w:color w:val="3CB6EC"/>
          <w:sz w:val="52"/>
          <w:szCs w:val="40"/>
        </w:rPr>
        <w:t xml:space="preserve">Alimentation </w:t>
      </w:r>
      <w:r w:rsidR="005A6C8E">
        <w:rPr>
          <w:b/>
          <w:color w:val="3CB6EC"/>
          <w:sz w:val="52"/>
          <w:szCs w:val="40"/>
        </w:rPr>
        <w:t>Intelligente</w:t>
      </w:r>
    </w:p>
    <w:p w:rsidR="0012005A" w:rsidRDefault="0012005A">
      <w:pPr>
        <w:pStyle w:val="Normal1"/>
        <w:jc w:val="center"/>
        <w:rPr>
          <w:b/>
          <w:color w:val="3CB6EC"/>
          <w:sz w:val="40"/>
          <w:szCs w:val="40"/>
        </w:rPr>
      </w:pPr>
    </w:p>
    <w:p w:rsidR="0012005A" w:rsidRDefault="0012005A">
      <w:pPr>
        <w:pStyle w:val="Normal1"/>
        <w:jc w:val="center"/>
        <w:rPr>
          <w:b/>
          <w:color w:val="3CB6EC"/>
          <w:sz w:val="40"/>
          <w:szCs w:val="40"/>
        </w:rPr>
      </w:pPr>
    </w:p>
    <w:p w:rsidR="0012005A" w:rsidRDefault="0012005A">
      <w:pPr>
        <w:pStyle w:val="Normal1"/>
        <w:jc w:val="center"/>
        <w:rPr>
          <w:b/>
          <w:color w:val="3CB6EC"/>
          <w:sz w:val="40"/>
          <w:szCs w:val="40"/>
        </w:rPr>
      </w:pPr>
    </w:p>
    <w:p w:rsidR="0012005A" w:rsidRDefault="00BF238A">
      <w:pPr>
        <w:pStyle w:val="En-ttedetabledesmatires1"/>
        <w:rPr>
          <w:rFonts w:ascii="Arial" w:hAnsi="Arial" w:cs="Arial"/>
          <w:color w:val="3CB6EC"/>
        </w:rPr>
      </w:pPr>
      <w:r>
        <w:rPr>
          <w:rFonts w:ascii="Arial" w:hAnsi="Arial" w:cs="Arial"/>
          <w:color w:val="3CB6EC"/>
        </w:rPr>
        <w:t>Calendrier du Concours</w:t>
      </w:r>
    </w:p>
    <w:p w:rsidR="0012005A" w:rsidRDefault="0012005A">
      <w:pPr>
        <w:pStyle w:val="Normal1"/>
      </w:pPr>
    </w:p>
    <w:p w:rsidR="0012005A" w:rsidRDefault="00C7124C">
      <w:pPr>
        <w:pStyle w:val="Normal1"/>
        <w:jc w:val="both"/>
        <w:rPr>
          <w:sz w:val="22"/>
        </w:rPr>
      </w:pPr>
      <w:r>
        <w:rPr>
          <w:b/>
          <w:sz w:val="22"/>
        </w:rPr>
        <w:t xml:space="preserve">Cet </w:t>
      </w:r>
      <w:r w:rsidR="00BF238A">
        <w:rPr>
          <w:b/>
          <w:sz w:val="22"/>
        </w:rPr>
        <w:t xml:space="preserve">appel à projets se clôture le 13 mars 2018 à 12h00 (midi). </w:t>
      </w:r>
      <w:r w:rsidR="000604FE">
        <w:rPr>
          <w:b/>
          <w:sz w:val="22"/>
        </w:rPr>
        <w:t xml:space="preserve">Il est ouvert le lendemain </w:t>
      </w:r>
      <w:r w:rsidR="000604FE" w:rsidRPr="000604FE">
        <w:rPr>
          <w:b/>
          <w:sz w:val="22"/>
        </w:rPr>
        <w:t xml:space="preserve">de </w:t>
      </w:r>
      <w:r w:rsidR="000604FE">
        <w:rPr>
          <w:b/>
          <w:sz w:val="22"/>
        </w:rPr>
        <w:t xml:space="preserve">la </w:t>
      </w:r>
      <w:r w:rsidR="000604FE" w:rsidRPr="000604FE">
        <w:rPr>
          <w:b/>
          <w:sz w:val="22"/>
        </w:rPr>
        <w:t>publication de l’arrêté du Premier ministre</w:t>
      </w:r>
      <w:r>
        <w:rPr>
          <w:b/>
          <w:sz w:val="22"/>
        </w:rPr>
        <w:t xml:space="preserve"> en </w:t>
      </w:r>
      <w:r w:rsidR="000604FE" w:rsidRPr="000604FE">
        <w:rPr>
          <w:b/>
          <w:sz w:val="22"/>
        </w:rPr>
        <w:t xml:space="preserve">approuvant </w:t>
      </w:r>
      <w:r>
        <w:rPr>
          <w:b/>
          <w:sz w:val="22"/>
        </w:rPr>
        <w:t>l</w:t>
      </w:r>
      <w:r w:rsidR="000604FE" w:rsidRPr="000604FE">
        <w:rPr>
          <w:b/>
          <w:sz w:val="22"/>
        </w:rPr>
        <w:t>e cahier des charges</w:t>
      </w:r>
      <w:r w:rsidR="00074889">
        <w:rPr>
          <w:b/>
          <w:sz w:val="22"/>
        </w:rPr>
        <w:t>.</w:t>
      </w:r>
      <w:bookmarkStart w:id="0" w:name="_GoBack"/>
      <w:bookmarkEnd w:id="0"/>
    </w:p>
    <w:p w:rsidR="0012005A" w:rsidRDefault="0012005A">
      <w:pPr>
        <w:pStyle w:val="Normal1"/>
        <w:rPr>
          <w:b/>
          <w:sz w:val="22"/>
        </w:rPr>
      </w:pPr>
    </w:p>
    <w:p w:rsidR="0012005A" w:rsidRDefault="00BF238A">
      <w:pPr>
        <w:pStyle w:val="Normal1"/>
        <w:jc w:val="both"/>
        <w:rPr>
          <w:sz w:val="22"/>
        </w:rPr>
        <w:sectPr w:rsidR="0012005A">
          <w:headerReference w:type="default" r:id="rId8"/>
          <w:footerReference w:type="default" r:id="rId9"/>
          <w:pgSz w:w="11906" w:h="16838"/>
          <w:pgMar w:top="1701" w:right="1418" w:bottom="1134" w:left="1418" w:header="1134" w:footer="142" w:gutter="0"/>
          <w:cols w:space="720"/>
          <w:formProt w:val="0"/>
          <w:docGrid w:linePitch="312" w:charSpace="2047"/>
        </w:sectPr>
      </w:pPr>
      <w:r>
        <w:rPr>
          <w:sz w:val="22"/>
        </w:rPr>
        <w:t xml:space="preserve">Les projets peuvent être soumis pendant toute la période d’ouverture du Concours d’innovation (ci-après « Concours »). Ils ne sont toutefois relevés qu’à la date de clôture. </w:t>
      </w:r>
    </w:p>
    <w:p w:rsidR="0012005A" w:rsidRDefault="00BF238A">
      <w:pPr>
        <w:pStyle w:val="En-ttedetabledesmatires1"/>
        <w:rPr>
          <w:rFonts w:ascii="Arial" w:hAnsi="Arial" w:cs="Arial"/>
          <w:color w:val="3CB6EC"/>
        </w:rPr>
      </w:pPr>
      <w:r>
        <w:rPr>
          <w:rFonts w:ascii="Arial" w:hAnsi="Arial" w:cs="Arial"/>
          <w:color w:val="3CB6EC"/>
        </w:rPr>
        <w:lastRenderedPageBreak/>
        <w:t>Table des matières</w:t>
      </w:r>
    </w:p>
    <w:p w:rsidR="0012005A" w:rsidRDefault="0012005A">
      <w:pPr>
        <w:pStyle w:val="Normal1"/>
        <w:tabs>
          <w:tab w:val="left" w:pos="480"/>
          <w:tab w:val="right" w:leader="dot" w:pos="9060"/>
        </w:tabs>
      </w:pPr>
    </w:p>
    <w:p w:rsidR="0012005A" w:rsidRDefault="00BF238A">
      <w:pPr>
        <w:pStyle w:val="Tabledesmatiresniveau1"/>
        <w:tabs>
          <w:tab w:val="left" w:pos="440"/>
          <w:tab w:val="right" w:leader="dot" w:pos="9628"/>
        </w:tabs>
      </w:pPr>
      <w:r>
        <w:fldChar w:fldCharType="begin"/>
      </w:r>
      <w:r>
        <w:instrText>TOC \o "1-9" \h</w:instrText>
      </w:r>
      <w:r>
        <w:fldChar w:fldCharType="separate"/>
      </w:r>
      <w:hyperlink w:anchor="_Toc501609409">
        <w:r>
          <w:rPr>
            <w:rStyle w:val="Sautdindex"/>
            <w:rFonts w:ascii="Arial" w:hAnsi="Arial" w:cs="Arial"/>
          </w:rPr>
          <w:t>A.</w:t>
        </w:r>
        <w:r>
          <w:rPr>
            <w:rStyle w:val="Sautdindex"/>
          </w:rPr>
          <w:tab/>
        </w:r>
        <w:r>
          <w:rPr>
            <w:rStyle w:val="Sautdindex"/>
            <w:rFonts w:ascii="Arial" w:hAnsi="Arial" w:cs="Arial"/>
          </w:rPr>
          <w:t>CONTEXTE ET OBJECTIFS</w:t>
        </w:r>
        <w:r>
          <w:rPr>
            <w:webHidden/>
          </w:rPr>
          <w:fldChar w:fldCharType="begin"/>
        </w:r>
        <w:r>
          <w:rPr>
            <w:webHidden/>
          </w:rPr>
          <w:instrText>PAGEREF _Toc501609409 \h</w:instrText>
        </w:r>
        <w:r>
          <w:rPr>
            <w:webHidden/>
          </w:rPr>
        </w:r>
        <w:r>
          <w:rPr>
            <w:webHidden/>
          </w:rPr>
          <w:fldChar w:fldCharType="separate"/>
        </w:r>
        <w:r w:rsidR="00AC506B">
          <w:rPr>
            <w:noProof/>
            <w:webHidden/>
          </w:rPr>
          <w:t>3</w:t>
        </w:r>
        <w:r>
          <w:rPr>
            <w:webHidden/>
          </w:rPr>
          <w:fldChar w:fldCharType="end"/>
        </w:r>
      </w:hyperlink>
    </w:p>
    <w:p w:rsidR="0012005A" w:rsidRDefault="00074889">
      <w:pPr>
        <w:pStyle w:val="Tabledesmatiresniveau1"/>
        <w:tabs>
          <w:tab w:val="left" w:pos="440"/>
          <w:tab w:val="right" w:leader="dot" w:pos="9628"/>
        </w:tabs>
      </w:pPr>
      <w:hyperlink w:anchor="_Toc501609410">
        <w:r w:rsidR="00BF238A">
          <w:rPr>
            <w:rStyle w:val="Sautdindex"/>
            <w:rFonts w:ascii="Arial" w:hAnsi="Arial"/>
          </w:rPr>
          <w:t>B.</w:t>
        </w:r>
        <w:r w:rsidR="00BF238A">
          <w:rPr>
            <w:rStyle w:val="Sautdindex"/>
          </w:rPr>
          <w:tab/>
        </w:r>
        <w:r w:rsidR="00BF238A">
          <w:rPr>
            <w:rStyle w:val="Sautdindex"/>
            <w:rFonts w:ascii="Arial" w:hAnsi="Arial" w:cs="Arial"/>
          </w:rPr>
          <w:t>THEMATIQUE</w:t>
        </w:r>
        <w:r w:rsidR="00BF238A">
          <w:rPr>
            <w:webHidden/>
          </w:rPr>
          <w:fldChar w:fldCharType="begin"/>
        </w:r>
        <w:r w:rsidR="00BF238A">
          <w:rPr>
            <w:webHidden/>
          </w:rPr>
          <w:instrText>PAGEREF _Toc501609410 \h</w:instrText>
        </w:r>
        <w:r w:rsidR="00BF238A">
          <w:rPr>
            <w:webHidden/>
          </w:rPr>
        </w:r>
        <w:r w:rsidR="00BF238A">
          <w:rPr>
            <w:webHidden/>
          </w:rPr>
          <w:fldChar w:fldCharType="separate"/>
        </w:r>
        <w:r w:rsidR="00AC506B">
          <w:rPr>
            <w:noProof/>
            <w:webHidden/>
          </w:rPr>
          <w:t>4</w:t>
        </w:r>
        <w:r w:rsidR="00BF238A">
          <w:rPr>
            <w:webHidden/>
          </w:rPr>
          <w:fldChar w:fldCharType="end"/>
        </w:r>
      </w:hyperlink>
    </w:p>
    <w:p w:rsidR="0012005A" w:rsidRDefault="00074889">
      <w:pPr>
        <w:pStyle w:val="Tabledesmatiresniveau1"/>
        <w:tabs>
          <w:tab w:val="left" w:pos="660"/>
          <w:tab w:val="right" w:leader="dot" w:pos="9628"/>
        </w:tabs>
      </w:pPr>
      <w:hyperlink w:anchor="_Toc501609411">
        <w:r w:rsidR="00BF238A">
          <w:rPr>
            <w:rStyle w:val="Sautdindex"/>
            <w:rFonts w:ascii="Arial" w:hAnsi="Arial"/>
          </w:rPr>
          <w:t>C.</w:t>
        </w:r>
        <w:r w:rsidR="00BF238A">
          <w:rPr>
            <w:rStyle w:val="Sautdindex"/>
          </w:rPr>
          <w:tab/>
        </w:r>
        <w:r w:rsidR="00BF238A">
          <w:rPr>
            <w:rStyle w:val="Sautdindex"/>
            <w:rFonts w:ascii="Arial" w:hAnsi="Arial" w:cs="Arial"/>
          </w:rPr>
          <w:t>CRITERES D’ELIGIBILITE</w:t>
        </w:r>
        <w:r w:rsidR="00BF238A">
          <w:rPr>
            <w:webHidden/>
          </w:rPr>
          <w:fldChar w:fldCharType="begin"/>
        </w:r>
        <w:r w:rsidR="00BF238A">
          <w:rPr>
            <w:webHidden/>
          </w:rPr>
          <w:instrText>PAGEREF _Toc501609411 \h</w:instrText>
        </w:r>
        <w:r w:rsidR="00BF238A">
          <w:rPr>
            <w:webHidden/>
          </w:rPr>
        </w:r>
        <w:r w:rsidR="00BF238A">
          <w:rPr>
            <w:webHidden/>
          </w:rPr>
          <w:fldChar w:fldCharType="separate"/>
        </w:r>
        <w:r w:rsidR="00AC506B">
          <w:rPr>
            <w:noProof/>
            <w:webHidden/>
          </w:rPr>
          <w:t>5</w:t>
        </w:r>
        <w:r w:rsidR="00BF238A">
          <w:rPr>
            <w:webHidden/>
          </w:rPr>
          <w:fldChar w:fldCharType="end"/>
        </w:r>
      </w:hyperlink>
    </w:p>
    <w:p w:rsidR="0012005A" w:rsidRDefault="00074889">
      <w:pPr>
        <w:pStyle w:val="Tabledesmatiresniveau1"/>
        <w:tabs>
          <w:tab w:val="left" w:pos="660"/>
          <w:tab w:val="right" w:leader="dot" w:pos="9628"/>
        </w:tabs>
      </w:pPr>
      <w:hyperlink w:anchor="_Toc501609412">
        <w:r w:rsidR="00BF238A">
          <w:rPr>
            <w:rStyle w:val="Sautdindex"/>
            <w:rFonts w:ascii="Arial" w:hAnsi="Arial" w:cs="Arial"/>
          </w:rPr>
          <w:t>D.</w:t>
        </w:r>
        <w:r w:rsidR="00BF238A">
          <w:rPr>
            <w:rStyle w:val="Sautdindex"/>
          </w:rPr>
          <w:tab/>
        </w:r>
        <w:r w:rsidR="00BF238A">
          <w:rPr>
            <w:rStyle w:val="Sautdindex"/>
            <w:rFonts w:ascii="Arial" w:hAnsi="Arial" w:cs="Arial"/>
          </w:rPr>
          <w:t>CRITERES DE SELECTION ET PROCESSUS DE SELECTION</w:t>
        </w:r>
        <w:r w:rsidR="00BF238A">
          <w:rPr>
            <w:webHidden/>
          </w:rPr>
          <w:fldChar w:fldCharType="begin"/>
        </w:r>
        <w:r w:rsidR="00BF238A">
          <w:rPr>
            <w:webHidden/>
          </w:rPr>
          <w:instrText>PAGEREF _Toc501609412 \h</w:instrText>
        </w:r>
        <w:r w:rsidR="00BF238A">
          <w:rPr>
            <w:webHidden/>
          </w:rPr>
        </w:r>
        <w:r w:rsidR="00BF238A">
          <w:rPr>
            <w:webHidden/>
          </w:rPr>
          <w:fldChar w:fldCharType="separate"/>
        </w:r>
        <w:r w:rsidR="00AC506B">
          <w:rPr>
            <w:noProof/>
            <w:webHidden/>
          </w:rPr>
          <w:t>6</w:t>
        </w:r>
        <w:r w:rsidR="00BF238A">
          <w:rPr>
            <w:webHidden/>
          </w:rPr>
          <w:fldChar w:fldCharType="end"/>
        </w:r>
      </w:hyperlink>
    </w:p>
    <w:p w:rsidR="0012005A" w:rsidRDefault="00074889">
      <w:pPr>
        <w:pStyle w:val="Tabledesmatiresniveau1"/>
        <w:tabs>
          <w:tab w:val="left" w:pos="440"/>
          <w:tab w:val="right" w:leader="dot" w:pos="9628"/>
        </w:tabs>
      </w:pPr>
      <w:hyperlink w:anchor="_Toc501609413">
        <w:r w:rsidR="00BF238A">
          <w:rPr>
            <w:rStyle w:val="Sautdindex"/>
            <w:rFonts w:ascii="Arial" w:hAnsi="Arial" w:cs="Arial"/>
          </w:rPr>
          <w:t>E.</w:t>
        </w:r>
        <w:r w:rsidR="00BF238A">
          <w:rPr>
            <w:rStyle w:val="Sautdindex"/>
          </w:rPr>
          <w:tab/>
        </w:r>
        <w:r w:rsidR="00BF238A">
          <w:rPr>
            <w:rStyle w:val="Sautdindex"/>
            <w:rFonts w:ascii="Arial" w:hAnsi="Arial" w:cs="Arial"/>
          </w:rPr>
          <w:t>LABEL POLE DE COMPETITIVITE</w:t>
        </w:r>
        <w:r w:rsidR="00BF238A">
          <w:rPr>
            <w:webHidden/>
          </w:rPr>
          <w:fldChar w:fldCharType="begin"/>
        </w:r>
        <w:r w:rsidR="00BF238A">
          <w:rPr>
            <w:webHidden/>
          </w:rPr>
          <w:instrText>PAGEREF _Toc501609413 \h</w:instrText>
        </w:r>
        <w:r w:rsidR="00BF238A">
          <w:rPr>
            <w:webHidden/>
          </w:rPr>
        </w:r>
        <w:r w:rsidR="00BF238A">
          <w:rPr>
            <w:webHidden/>
          </w:rPr>
          <w:fldChar w:fldCharType="separate"/>
        </w:r>
        <w:r w:rsidR="00AC506B">
          <w:rPr>
            <w:noProof/>
            <w:webHidden/>
          </w:rPr>
          <w:t>9</w:t>
        </w:r>
        <w:r w:rsidR="00BF238A">
          <w:rPr>
            <w:webHidden/>
          </w:rPr>
          <w:fldChar w:fldCharType="end"/>
        </w:r>
      </w:hyperlink>
    </w:p>
    <w:p w:rsidR="0012005A" w:rsidRDefault="00074889">
      <w:pPr>
        <w:pStyle w:val="Tabledesmatiresniveau1"/>
        <w:tabs>
          <w:tab w:val="left" w:pos="440"/>
          <w:tab w:val="right" w:leader="dot" w:pos="9628"/>
        </w:tabs>
      </w:pPr>
      <w:hyperlink w:anchor="_Toc501609414">
        <w:r w:rsidR="00BF238A">
          <w:rPr>
            <w:rStyle w:val="Sautdindex"/>
            <w:rFonts w:ascii="Arial" w:hAnsi="Arial" w:cs="Arial"/>
          </w:rPr>
          <w:t>F.</w:t>
        </w:r>
        <w:r w:rsidR="00BF238A">
          <w:rPr>
            <w:rStyle w:val="Sautdindex"/>
          </w:rPr>
          <w:tab/>
        </w:r>
        <w:r w:rsidR="00BF238A">
          <w:rPr>
            <w:rStyle w:val="Sautdindex"/>
            <w:rFonts w:ascii="Arial" w:hAnsi="Arial" w:cs="Arial"/>
          </w:rPr>
          <w:t>FINANCEMENT OCTROYE</w:t>
        </w:r>
        <w:r w:rsidR="00BF238A">
          <w:rPr>
            <w:webHidden/>
          </w:rPr>
          <w:fldChar w:fldCharType="begin"/>
        </w:r>
        <w:r w:rsidR="00BF238A">
          <w:rPr>
            <w:webHidden/>
          </w:rPr>
          <w:instrText>PAGEREF _Toc501609414 \h</w:instrText>
        </w:r>
        <w:r w:rsidR="00BF238A">
          <w:rPr>
            <w:webHidden/>
          </w:rPr>
        </w:r>
        <w:r w:rsidR="00BF238A">
          <w:rPr>
            <w:webHidden/>
          </w:rPr>
          <w:fldChar w:fldCharType="separate"/>
        </w:r>
        <w:r w:rsidR="00AC506B">
          <w:rPr>
            <w:noProof/>
            <w:webHidden/>
          </w:rPr>
          <w:t>10</w:t>
        </w:r>
        <w:r w:rsidR="00BF238A">
          <w:rPr>
            <w:webHidden/>
          </w:rPr>
          <w:fldChar w:fldCharType="end"/>
        </w:r>
      </w:hyperlink>
    </w:p>
    <w:p w:rsidR="0012005A" w:rsidRDefault="00074889">
      <w:pPr>
        <w:pStyle w:val="Tabledesmatiresniveau1"/>
        <w:tabs>
          <w:tab w:val="left" w:pos="660"/>
          <w:tab w:val="right" w:leader="dot" w:pos="9628"/>
        </w:tabs>
      </w:pPr>
      <w:hyperlink w:anchor="_Toc501609415">
        <w:r w:rsidR="00BF238A">
          <w:rPr>
            <w:rStyle w:val="Sautdindex"/>
            <w:rFonts w:ascii="Arial" w:hAnsi="Arial" w:cs="Arial"/>
          </w:rPr>
          <w:t>G.</w:t>
        </w:r>
        <w:r w:rsidR="00BF238A">
          <w:rPr>
            <w:rStyle w:val="Sautdindex"/>
          </w:rPr>
          <w:tab/>
        </w:r>
        <w:r w:rsidR="00BF238A">
          <w:rPr>
            <w:rStyle w:val="Sautdindex"/>
            <w:rFonts w:ascii="Arial" w:hAnsi="Arial" w:cs="Arial"/>
          </w:rPr>
          <w:t>CONFIDENTIALITE ET COMMUNICATION</w:t>
        </w:r>
        <w:r w:rsidR="00BF238A">
          <w:rPr>
            <w:webHidden/>
          </w:rPr>
          <w:fldChar w:fldCharType="begin"/>
        </w:r>
        <w:r w:rsidR="00BF238A">
          <w:rPr>
            <w:webHidden/>
          </w:rPr>
          <w:instrText>PAGEREF _Toc501609415 \h</w:instrText>
        </w:r>
        <w:r w:rsidR="00BF238A">
          <w:rPr>
            <w:webHidden/>
          </w:rPr>
        </w:r>
        <w:r w:rsidR="00BF238A">
          <w:rPr>
            <w:webHidden/>
          </w:rPr>
          <w:fldChar w:fldCharType="separate"/>
        </w:r>
        <w:r w:rsidR="00AC506B">
          <w:rPr>
            <w:noProof/>
            <w:webHidden/>
          </w:rPr>
          <w:t>12</w:t>
        </w:r>
        <w:r w:rsidR="00BF238A">
          <w:rPr>
            <w:webHidden/>
          </w:rPr>
          <w:fldChar w:fldCharType="end"/>
        </w:r>
      </w:hyperlink>
    </w:p>
    <w:p w:rsidR="0012005A" w:rsidRDefault="00074889">
      <w:pPr>
        <w:pStyle w:val="Tabledesmatiresniveau1"/>
        <w:tabs>
          <w:tab w:val="left" w:pos="660"/>
          <w:tab w:val="right" w:leader="dot" w:pos="9628"/>
        </w:tabs>
      </w:pPr>
      <w:hyperlink w:anchor="_Toc501609416">
        <w:r w:rsidR="00BF238A">
          <w:rPr>
            <w:rStyle w:val="Sautdindex"/>
            <w:rFonts w:ascii="Arial" w:hAnsi="Arial" w:cs="Arial"/>
          </w:rPr>
          <w:t>H.</w:t>
        </w:r>
        <w:r w:rsidR="00BF238A">
          <w:rPr>
            <w:rStyle w:val="Sautdindex"/>
          </w:rPr>
          <w:tab/>
        </w:r>
        <w:r w:rsidR="00BF238A">
          <w:rPr>
            <w:rStyle w:val="Sautdindex"/>
            <w:rFonts w:ascii="Arial" w:hAnsi="Arial" w:cs="Arial"/>
          </w:rPr>
          <w:t>SOUMISSION DES PROJETS</w:t>
        </w:r>
        <w:r w:rsidR="00BF238A">
          <w:rPr>
            <w:webHidden/>
          </w:rPr>
          <w:fldChar w:fldCharType="begin"/>
        </w:r>
        <w:r w:rsidR="00BF238A">
          <w:rPr>
            <w:webHidden/>
          </w:rPr>
          <w:instrText>PAGEREF _Toc501609416 \h</w:instrText>
        </w:r>
        <w:r w:rsidR="00BF238A">
          <w:rPr>
            <w:webHidden/>
          </w:rPr>
        </w:r>
        <w:r w:rsidR="00BF238A">
          <w:rPr>
            <w:webHidden/>
          </w:rPr>
          <w:fldChar w:fldCharType="separate"/>
        </w:r>
        <w:r w:rsidR="00AC506B">
          <w:rPr>
            <w:noProof/>
            <w:webHidden/>
          </w:rPr>
          <w:t>13</w:t>
        </w:r>
        <w:r w:rsidR="00BF238A">
          <w:rPr>
            <w:webHidden/>
          </w:rPr>
          <w:fldChar w:fldCharType="end"/>
        </w:r>
      </w:hyperlink>
    </w:p>
    <w:p w:rsidR="0012005A" w:rsidRDefault="00074889">
      <w:pPr>
        <w:pStyle w:val="Tabledesmatiresniveau1"/>
        <w:tabs>
          <w:tab w:val="right" w:leader="dot" w:pos="9628"/>
        </w:tabs>
      </w:pPr>
      <w:hyperlink w:anchor="_Toc501609417">
        <w:r w:rsidR="00BF238A">
          <w:rPr>
            <w:rStyle w:val="Sautdindex"/>
            <w:rFonts w:ascii="Arial" w:eastAsia="SimSun" w:hAnsi="Arial" w:cs="Arial"/>
            <w:lang w:eastAsia="ar-SA" w:bidi="hi-IN"/>
          </w:rPr>
          <w:t>Annexe : fiche « Alimentation intelligente »</w:t>
        </w:r>
        <w:r w:rsidR="00BF238A">
          <w:rPr>
            <w:webHidden/>
          </w:rPr>
          <w:fldChar w:fldCharType="begin"/>
        </w:r>
        <w:r w:rsidR="00BF238A">
          <w:rPr>
            <w:webHidden/>
          </w:rPr>
          <w:instrText>PAGEREF _Toc501609417 \h</w:instrText>
        </w:r>
        <w:r w:rsidR="00BF238A">
          <w:rPr>
            <w:webHidden/>
          </w:rPr>
        </w:r>
        <w:r w:rsidR="00BF238A">
          <w:rPr>
            <w:webHidden/>
          </w:rPr>
          <w:fldChar w:fldCharType="separate"/>
        </w:r>
        <w:r w:rsidR="00AC506B">
          <w:rPr>
            <w:noProof/>
            <w:webHidden/>
          </w:rPr>
          <w:t>14</w:t>
        </w:r>
        <w:r w:rsidR="00BF238A">
          <w:rPr>
            <w:webHidden/>
          </w:rPr>
          <w:fldChar w:fldCharType="end"/>
        </w:r>
      </w:hyperlink>
    </w:p>
    <w:p w:rsidR="0012005A" w:rsidRDefault="00BF238A">
      <w:pPr>
        <w:pStyle w:val="Tabledesmatiresniveau1"/>
      </w:pPr>
      <w:r>
        <w:fldChar w:fldCharType="end"/>
      </w:r>
    </w:p>
    <w:p w:rsidR="0012005A" w:rsidRDefault="00BF238A">
      <w:pPr>
        <w:pStyle w:val="En-ttedetabledesmatires1"/>
      </w:pPr>
      <w:r>
        <w:rPr>
          <w:rFonts w:ascii="Arial" w:hAnsi="Arial" w:cs="Arial"/>
          <w:color w:val="3CB6EC"/>
        </w:rPr>
        <w:t>Annexe :</w:t>
      </w:r>
      <w:r>
        <w:rPr>
          <w:rFonts w:ascii="Liberation Serif" w:hAnsi="Liberation Serif" w:cs="Arial"/>
          <w:color w:val="3CB6EC"/>
          <w:sz w:val="24"/>
          <w:szCs w:val="24"/>
        </w:rPr>
        <w:t xml:space="preserve"> </w:t>
      </w:r>
      <w:r>
        <w:rPr>
          <w:rFonts w:ascii="Arial" w:hAnsi="Arial" w:cs="Arial"/>
          <w:color w:val="000000" w:themeColor="text1"/>
          <w:sz w:val="22"/>
          <w:szCs w:val="22"/>
        </w:rPr>
        <w:t>f</w:t>
      </w:r>
      <w:r>
        <w:rPr>
          <w:rFonts w:ascii="Arial" w:eastAsiaTheme="minorHAnsi" w:hAnsi="Arial" w:cs="Arial"/>
          <w:color w:val="000000" w:themeColor="text1"/>
          <w:sz w:val="22"/>
          <w:szCs w:val="22"/>
          <w:lang w:eastAsia="fr-FR" w:bidi="ar-SA"/>
        </w:rPr>
        <w:t>iche alimentation intelligente</w:t>
      </w:r>
    </w:p>
    <w:p w:rsidR="0012005A" w:rsidRDefault="0012005A">
      <w:pPr>
        <w:pStyle w:val="Paragraphedeliste2"/>
        <w:tabs>
          <w:tab w:val="left" w:pos="567"/>
        </w:tabs>
        <w:ind w:hanging="76"/>
        <w:rPr>
          <w:rFonts w:ascii="Liberation Serif" w:hAnsi="Liberation Serif"/>
          <w:b/>
          <w:szCs w:val="24"/>
        </w:rPr>
      </w:pPr>
    </w:p>
    <w:p w:rsidR="0012005A" w:rsidRDefault="00BF238A">
      <w:pPr>
        <w:pStyle w:val="Titre1"/>
        <w:numPr>
          <w:ilvl w:val="0"/>
          <w:numId w:val="3"/>
        </w:numPr>
        <w:rPr>
          <w:rFonts w:ascii="Arial" w:hAnsi="Arial" w:cs="Arial"/>
          <w:bCs w:val="0"/>
          <w:caps w:val="0"/>
          <w:sz w:val="24"/>
          <w:szCs w:val="24"/>
        </w:rPr>
      </w:pPr>
      <w:bookmarkStart w:id="1" w:name="_Toc500319818"/>
      <w:bookmarkStart w:id="2" w:name="_Toc498017358"/>
      <w:bookmarkStart w:id="3" w:name="_Toc429412715"/>
      <w:bookmarkStart w:id="4" w:name="_Toc499646225"/>
      <w:bookmarkStart w:id="5" w:name="_Toc501609409"/>
      <w:bookmarkEnd w:id="1"/>
      <w:bookmarkEnd w:id="2"/>
      <w:bookmarkEnd w:id="3"/>
      <w:bookmarkEnd w:id="4"/>
      <w:bookmarkEnd w:id="5"/>
      <w:r>
        <w:rPr>
          <w:rFonts w:ascii="Arial" w:hAnsi="Arial" w:cs="Arial"/>
          <w:sz w:val="24"/>
          <w:szCs w:val="24"/>
        </w:rPr>
        <w:lastRenderedPageBreak/>
        <w:t>CONTEXTE ET OBJECTIFS</w:t>
      </w:r>
    </w:p>
    <w:p w:rsidR="0012005A" w:rsidRDefault="00BF238A">
      <w:pPr>
        <w:pStyle w:val="Normal1"/>
        <w:jc w:val="both"/>
        <w:rPr>
          <w:sz w:val="22"/>
        </w:rPr>
      </w:pPr>
      <w:r>
        <w:rPr>
          <w:sz w:val="22"/>
        </w:rPr>
        <w:t>Les petites et moyennes entreprises (PME) françaises jouent un rôle majeur dans la croissance économique nationale.</w:t>
      </w:r>
    </w:p>
    <w:p w:rsidR="0012005A" w:rsidRDefault="00BF238A">
      <w:pPr>
        <w:pStyle w:val="Normal1"/>
        <w:jc w:val="both"/>
      </w:pPr>
      <w:r>
        <w:rPr>
          <w:sz w:val="22"/>
        </w:rPr>
        <w:t>Le Concours d’innovation </w:t>
      </w:r>
      <w:r w:rsidR="00AC506B">
        <w:rPr>
          <w:sz w:val="22"/>
        </w:rPr>
        <w:t xml:space="preserve">pour une </w:t>
      </w:r>
      <w:r w:rsidR="005A6C8E">
        <w:rPr>
          <w:sz w:val="22"/>
        </w:rPr>
        <w:t>Alimentation Intelligente</w:t>
      </w:r>
      <w:r>
        <w:rPr>
          <w:sz w:val="22"/>
        </w:rPr>
        <w:t xml:space="preserve">, financé par le Programme d’investissements d’avenir (PIA), vise à soutenir des projets innovants portés par des </w:t>
      </w:r>
      <w:r>
        <w:rPr>
          <w:i/>
          <w:sz w:val="22"/>
        </w:rPr>
        <w:t>start-ups</w:t>
      </w:r>
      <w:r>
        <w:rPr>
          <w:sz w:val="22"/>
        </w:rPr>
        <w:t xml:space="preserve"> et des PME (selon le droit européen</w:t>
      </w:r>
      <w:r>
        <w:rPr>
          <w:rStyle w:val="Ancredenotedebasdepage"/>
          <w:sz w:val="22"/>
        </w:rPr>
        <w:footnoteReference w:id="1"/>
      </w:r>
      <w:r>
        <w:rPr>
          <w:sz w:val="22"/>
        </w:rPr>
        <w:t>), et à favoriser l’émergence accélérée d’entreprises</w:t>
      </w:r>
      <w:r>
        <w:rPr>
          <w:i/>
          <w:sz w:val="22"/>
        </w:rPr>
        <w:t xml:space="preserve"> leaders </w:t>
      </w:r>
      <w:r>
        <w:rPr>
          <w:sz w:val="22"/>
        </w:rPr>
        <w:t xml:space="preserve">dans ce domaine. </w:t>
      </w:r>
      <w:r>
        <w:rPr>
          <w:iCs/>
          <w:sz w:val="22"/>
        </w:rPr>
        <w:t xml:space="preserve">Il </w:t>
      </w:r>
      <w:r>
        <w:rPr>
          <w:sz w:val="22"/>
        </w:rPr>
        <w:t>sélectionne, dans le cadre d’une procédure favorisant la compétition, des projets d’innovation au potentiel particulièrement fort pour l’économie française. Il permet de cofinancer des projets de recherche, développement et innovation, dont les coûts totaux se situent entre 600 k€ et 5 M€, et contribue à accélérer le développement et la mise sur le marché de solutions et technologies innovantes. Les projets soutenus dans le cadre de ce Concours sont portés par une entreprise unique et sont non collaboratifs.</w:t>
      </w:r>
    </w:p>
    <w:p w:rsidR="0012005A" w:rsidRDefault="0012005A">
      <w:pPr>
        <w:pStyle w:val="Normal1"/>
        <w:jc w:val="both"/>
        <w:rPr>
          <w:sz w:val="22"/>
        </w:rPr>
      </w:pPr>
    </w:p>
    <w:p w:rsidR="0012005A" w:rsidRDefault="00BF238A">
      <w:pPr>
        <w:pStyle w:val="Titre1"/>
        <w:numPr>
          <w:ilvl w:val="0"/>
          <w:numId w:val="3"/>
        </w:numPr>
      </w:pPr>
      <w:bookmarkStart w:id="6" w:name="_Toc50152497850"/>
      <w:bookmarkStart w:id="7" w:name="_Toc501609410"/>
      <w:bookmarkEnd w:id="6"/>
      <w:bookmarkEnd w:id="7"/>
      <w:r>
        <w:rPr>
          <w:rFonts w:ascii="Arial" w:hAnsi="Arial" w:cs="Arial"/>
          <w:sz w:val="24"/>
          <w:szCs w:val="24"/>
        </w:rPr>
        <w:lastRenderedPageBreak/>
        <w:t>THEMATIQUE</w:t>
      </w:r>
    </w:p>
    <w:p w:rsidR="0012005A" w:rsidRDefault="00BF238A">
      <w:pPr>
        <w:pStyle w:val="Normal1"/>
        <w:jc w:val="both"/>
      </w:pPr>
      <w:r>
        <w:rPr>
          <w:sz w:val="22"/>
        </w:rPr>
        <w:t xml:space="preserve">Le concours est ouvert aux PME susceptibles d’intervenir sur la thématique « alimentation intelligente » détaillée en annexe. Il est opéré par </w:t>
      </w:r>
      <w:proofErr w:type="spellStart"/>
      <w:r>
        <w:rPr>
          <w:sz w:val="22"/>
        </w:rPr>
        <w:t>FranceAgriMer</w:t>
      </w:r>
      <w:proofErr w:type="spellEnd"/>
      <w:r>
        <w:rPr>
          <w:sz w:val="22"/>
        </w:rPr>
        <w:t xml:space="preserve">. Il est ouvert dans le même calendrier que le concours d’innovation ouvert par les deux opérateurs que sont l’ADEME et </w:t>
      </w:r>
      <w:proofErr w:type="spellStart"/>
      <w:r>
        <w:rPr>
          <w:sz w:val="22"/>
        </w:rPr>
        <w:t>Bpifrance</w:t>
      </w:r>
      <w:proofErr w:type="spellEnd"/>
      <w:r>
        <w:rPr>
          <w:sz w:val="22"/>
        </w:rPr>
        <w:t xml:space="preserve">. Cette thématique « alimentation intelligente » fera également partie des thématiques prévisionnelles opérées par </w:t>
      </w:r>
      <w:proofErr w:type="spellStart"/>
      <w:r>
        <w:rPr>
          <w:sz w:val="22"/>
        </w:rPr>
        <w:t>Bpifrance</w:t>
      </w:r>
      <w:proofErr w:type="spellEnd"/>
      <w:r>
        <w:rPr>
          <w:sz w:val="22"/>
        </w:rPr>
        <w:t xml:space="preserve"> en deuxième vague du concours d’innovation mentionné ci-dessus.</w:t>
      </w:r>
    </w:p>
    <w:p w:rsidR="0012005A" w:rsidRDefault="00BF238A">
      <w:pPr>
        <w:pStyle w:val="Normal1"/>
        <w:jc w:val="both"/>
      </w:pPr>
      <w:r>
        <w:rPr>
          <w:sz w:val="22"/>
        </w:rPr>
        <w:t xml:space="preserve">Un même projet ne pourra pas être déposé en même temps auprès de </w:t>
      </w:r>
      <w:proofErr w:type="spellStart"/>
      <w:r>
        <w:rPr>
          <w:sz w:val="22"/>
        </w:rPr>
        <w:t>FranceAgriMer</w:t>
      </w:r>
      <w:proofErr w:type="spellEnd"/>
      <w:r>
        <w:rPr>
          <w:sz w:val="22"/>
        </w:rPr>
        <w:t xml:space="preserve"> et de l’ADEME ou de </w:t>
      </w:r>
      <w:proofErr w:type="spellStart"/>
      <w:r>
        <w:rPr>
          <w:sz w:val="22"/>
        </w:rPr>
        <w:t>Bpifrance</w:t>
      </w:r>
      <w:proofErr w:type="spellEnd"/>
      <w:r>
        <w:rPr>
          <w:sz w:val="22"/>
        </w:rPr>
        <w:t>. Un projet déposé chez un des opérateurs pourra cependant être</w:t>
      </w:r>
      <w:r>
        <w:rPr>
          <w:i/>
          <w:sz w:val="22"/>
        </w:rPr>
        <w:t xml:space="preserve"> in fine</w:t>
      </w:r>
      <w:r>
        <w:rPr>
          <w:sz w:val="22"/>
        </w:rPr>
        <w:t xml:space="preserve"> affecté pour son traitement à un autre opérateur en fonction de son adéquation aux thématiques ouvertes au moment de son dépôt.</w:t>
      </w:r>
    </w:p>
    <w:p w:rsidR="0012005A" w:rsidRDefault="0012005A">
      <w:pPr>
        <w:pStyle w:val="Normal1"/>
        <w:spacing w:before="120" w:after="120"/>
      </w:pPr>
      <w:bookmarkStart w:id="8" w:name="__RefHeading__12829_1298835588"/>
      <w:bookmarkStart w:id="9" w:name="_Toc429412716"/>
      <w:bookmarkEnd w:id="8"/>
      <w:bookmarkEnd w:id="9"/>
    </w:p>
    <w:p w:rsidR="0012005A" w:rsidRDefault="00BF238A">
      <w:pPr>
        <w:pStyle w:val="Titre1"/>
        <w:numPr>
          <w:ilvl w:val="0"/>
          <w:numId w:val="3"/>
        </w:numPr>
      </w:pPr>
      <w:r>
        <w:rPr>
          <w:rFonts w:ascii="Arial" w:hAnsi="Arial" w:cs="Arial"/>
          <w:sz w:val="24"/>
          <w:szCs w:val="24"/>
        </w:rPr>
        <w:lastRenderedPageBreak/>
        <w:t xml:space="preserve"> </w:t>
      </w:r>
      <w:bookmarkStart w:id="10" w:name="_Toc50031982146"/>
      <w:bookmarkStart w:id="11" w:name="_Toc49801736147"/>
      <w:bookmarkStart w:id="12" w:name="_Toc49964622848"/>
      <w:bookmarkStart w:id="13" w:name="_Toc50152498049"/>
      <w:bookmarkStart w:id="14" w:name="_Toc501609411"/>
      <w:r>
        <w:rPr>
          <w:rFonts w:ascii="Arial" w:hAnsi="Arial" w:cs="Arial"/>
          <w:sz w:val="24"/>
          <w:szCs w:val="24"/>
        </w:rPr>
        <w:t xml:space="preserve">CRITERES </w:t>
      </w:r>
      <w:bookmarkEnd w:id="10"/>
      <w:bookmarkEnd w:id="11"/>
      <w:bookmarkEnd w:id="12"/>
      <w:bookmarkEnd w:id="13"/>
      <w:bookmarkEnd w:id="14"/>
      <w:r>
        <w:rPr>
          <w:rFonts w:ascii="Arial" w:hAnsi="Arial" w:cs="Arial"/>
          <w:caps w:val="0"/>
          <w:sz w:val="24"/>
          <w:szCs w:val="24"/>
        </w:rPr>
        <w:t>D’ELIGIBILITE</w:t>
      </w:r>
    </w:p>
    <w:p w:rsidR="0012005A" w:rsidRDefault="00BF238A">
      <w:pPr>
        <w:pStyle w:val="Normal1"/>
        <w:spacing w:after="120"/>
        <w:jc w:val="both"/>
      </w:pPr>
      <w:r>
        <w:rPr>
          <w:sz w:val="22"/>
        </w:rPr>
        <w:t>Le projet doit être conforme aux critères d’éligibilité suivants :</w:t>
      </w:r>
    </w:p>
    <w:p w:rsidR="0012005A" w:rsidRDefault="00BF238A">
      <w:pPr>
        <w:pStyle w:val="Normal1"/>
        <w:spacing w:after="120"/>
        <w:jc w:val="both"/>
        <w:rPr>
          <w:b/>
          <w:sz w:val="22"/>
          <w:szCs w:val="22"/>
        </w:rPr>
      </w:pPr>
      <w:r>
        <w:rPr>
          <w:b/>
          <w:sz w:val="22"/>
        </w:rPr>
        <w:t>Dossier</w:t>
      </w:r>
    </w:p>
    <w:p w:rsidR="0012005A" w:rsidRDefault="00BF238A">
      <w:pPr>
        <w:pStyle w:val="Paragraphedeliste"/>
        <w:numPr>
          <w:ilvl w:val="0"/>
          <w:numId w:val="1"/>
        </w:numPr>
        <w:spacing w:after="120"/>
        <w:ind w:left="714" w:hanging="357"/>
        <w:jc w:val="both"/>
      </w:pPr>
      <w:r>
        <w:rPr>
          <w:rFonts w:ascii="Arial" w:hAnsi="Arial" w:cs="Arial"/>
          <w:sz w:val="22"/>
          <w:szCs w:val="24"/>
        </w:rPr>
        <w:t>être soumis, dans les délais, sous forme électronique via la plateforme prévue au paragraphe H ;</w:t>
      </w:r>
    </w:p>
    <w:p w:rsidR="0012005A" w:rsidRDefault="00BF238A">
      <w:pPr>
        <w:pStyle w:val="Paragraphedeliste"/>
        <w:numPr>
          <w:ilvl w:val="0"/>
          <w:numId w:val="1"/>
        </w:numPr>
        <w:spacing w:after="120"/>
        <w:ind w:left="714" w:hanging="357"/>
        <w:jc w:val="both"/>
      </w:pPr>
      <w:r>
        <w:rPr>
          <w:rFonts w:ascii="Arial" w:hAnsi="Arial" w:cs="Arial"/>
          <w:sz w:val="22"/>
          <w:szCs w:val="24"/>
        </w:rPr>
        <w:t>former un dossier de candidature complet, au format imposé (cf. paragraphe H), tous les paragraphes, tableaux et onglets étant renseignés ;</w:t>
      </w:r>
    </w:p>
    <w:p w:rsidR="0012005A" w:rsidRDefault="00BF238A">
      <w:pPr>
        <w:pStyle w:val="Normal1"/>
        <w:spacing w:after="120"/>
        <w:jc w:val="both"/>
        <w:rPr>
          <w:b/>
          <w:sz w:val="22"/>
        </w:rPr>
      </w:pPr>
      <w:r>
        <w:rPr>
          <w:b/>
          <w:sz w:val="22"/>
        </w:rPr>
        <w:t>Projet</w:t>
      </w:r>
    </w:p>
    <w:p w:rsidR="0012005A" w:rsidRDefault="00BF238A">
      <w:pPr>
        <w:pStyle w:val="Paragraphedeliste"/>
        <w:numPr>
          <w:ilvl w:val="0"/>
          <w:numId w:val="1"/>
        </w:numPr>
        <w:spacing w:after="120"/>
        <w:jc w:val="both"/>
        <w:rPr>
          <w:rFonts w:ascii="Arial" w:hAnsi="Arial" w:cs="Arial"/>
          <w:sz w:val="22"/>
        </w:rPr>
      </w:pPr>
      <w:r>
        <w:rPr>
          <w:rFonts w:ascii="Arial" w:hAnsi="Arial" w:cs="Arial"/>
          <w:sz w:val="22"/>
          <w:szCs w:val="24"/>
        </w:rPr>
        <w:t xml:space="preserve">s’inscrire dans la thématique alimentation intelligente détaillée en annexe ; </w:t>
      </w:r>
    </w:p>
    <w:p w:rsidR="0012005A" w:rsidRDefault="00BF238A">
      <w:pPr>
        <w:pStyle w:val="Paragraphedeliste"/>
        <w:numPr>
          <w:ilvl w:val="0"/>
          <w:numId w:val="1"/>
        </w:numPr>
        <w:spacing w:after="120"/>
        <w:jc w:val="both"/>
      </w:pPr>
      <w:r>
        <w:rPr>
          <w:rFonts w:ascii="Arial" w:hAnsi="Arial" w:cs="Arial"/>
          <w:sz w:val="22"/>
          <w:szCs w:val="24"/>
        </w:rPr>
        <w:t>être d’un coût total situé entre 600 k€ et 5M€</w:t>
      </w:r>
      <w:bookmarkStart w:id="15" w:name="__DdeLink__1105_1378111934"/>
      <w:bookmarkEnd w:id="15"/>
      <w:r>
        <w:rPr>
          <w:rFonts w:ascii="Arial" w:hAnsi="Arial" w:cs="Arial"/>
          <w:sz w:val="22"/>
          <w:szCs w:val="24"/>
        </w:rPr>
        <w:t xml:space="preserve"> et au cas général d’une durée comprise entre 12 et 36 mois ;</w:t>
      </w:r>
    </w:p>
    <w:p w:rsidR="0012005A" w:rsidRDefault="00BF238A">
      <w:pPr>
        <w:pStyle w:val="Paragraphedeliste"/>
        <w:numPr>
          <w:ilvl w:val="0"/>
          <w:numId w:val="1"/>
        </w:numPr>
        <w:spacing w:after="120"/>
        <w:jc w:val="both"/>
        <w:rPr>
          <w:rFonts w:ascii="Arial" w:hAnsi="Arial" w:cs="Arial"/>
          <w:sz w:val="22"/>
        </w:rPr>
      </w:pPr>
      <w:r>
        <w:rPr>
          <w:rFonts w:ascii="Arial" w:hAnsi="Arial" w:cs="Arial"/>
          <w:sz w:val="22"/>
          <w:szCs w:val="24"/>
        </w:rPr>
        <w:t>porter sur des travaux innovants réalisés en France et non commencés avant le dépôt de la demande d’aide ;</w:t>
      </w:r>
    </w:p>
    <w:p w:rsidR="0012005A" w:rsidRDefault="00BF238A">
      <w:pPr>
        <w:pStyle w:val="Normal1"/>
        <w:spacing w:after="120"/>
        <w:jc w:val="both"/>
        <w:rPr>
          <w:b/>
          <w:sz w:val="22"/>
        </w:rPr>
      </w:pPr>
      <w:r>
        <w:rPr>
          <w:b/>
          <w:sz w:val="22"/>
        </w:rPr>
        <w:t>Porteur</w:t>
      </w:r>
    </w:p>
    <w:p w:rsidR="0012005A" w:rsidRDefault="00BF238A">
      <w:pPr>
        <w:pStyle w:val="Paragraphedeliste"/>
        <w:numPr>
          <w:ilvl w:val="0"/>
          <w:numId w:val="1"/>
        </w:numPr>
        <w:spacing w:after="120"/>
        <w:jc w:val="both"/>
        <w:rPr>
          <w:rFonts w:ascii="Arial" w:hAnsi="Arial" w:cs="Arial"/>
          <w:sz w:val="22"/>
        </w:rPr>
      </w:pPr>
      <w:r>
        <w:rPr>
          <w:rFonts w:ascii="Arial" w:hAnsi="Arial" w:cs="Arial"/>
          <w:sz w:val="22"/>
          <w:szCs w:val="24"/>
        </w:rPr>
        <w:t>être déposé par un porteur unique ;</w:t>
      </w:r>
    </w:p>
    <w:p w:rsidR="0012005A" w:rsidRDefault="00BF238A">
      <w:pPr>
        <w:pStyle w:val="Paragraphedeliste"/>
        <w:numPr>
          <w:ilvl w:val="0"/>
          <w:numId w:val="1"/>
        </w:numPr>
        <w:spacing w:after="120"/>
        <w:jc w:val="both"/>
        <w:rPr>
          <w:rFonts w:ascii="Arial" w:hAnsi="Arial" w:cs="Arial"/>
          <w:sz w:val="22"/>
        </w:rPr>
      </w:pPr>
      <w:r>
        <w:rPr>
          <w:rFonts w:ascii="Arial" w:hAnsi="Arial" w:cs="Arial"/>
          <w:sz w:val="22"/>
          <w:szCs w:val="24"/>
        </w:rPr>
        <w:t>être porté par une société immatriculée en France au registre du commerce et des sociétés (RCS) à la date de dépôt du dossier, et considérée comme une PME au sens communautaire ;</w:t>
      </w:r>
    </w:p>
    <w:p w:rsidR="0012005A" w:rsidRDefault="00BF238A">
      <w:pPr>
        <w:pStyle w:val="Paragraphedeliste"/>
        <w:numPr>
          <w:ilvl w:val="0"/>
          <w:numId w:val="1"/>
        </w:numPr>
        <w:spacing w:after="120"/>
        <w:jc w:val="both"/>
        <w:rPr>
          <w:rFonts w:ascii="Arial" w:hAnsi="Arial" w:cs="Arial"/>
          <w:sz w:val="22"/>
        </w:rPr>
      </w:pPr>
      <w:r>
        <w:rPr>
          <w:rFonts w:ascii="Arial" w:hAnsi="Arial" w:cs="Arial"/>
          <w:sz w:val="22"/>
          <w:szCs w:val="24"/>
        </w:rPr>
        <w:t>être porté par une société à jour de ses obligations fiscales et sociales, n’étant pas considérée comme une entreprise en difficulté au sens européen et ne faisant pas l’objet d’une procédure collective en cours.</w:t>
      </w:r>
    </w:p>
    <w:p w:rsidR="0012005A" w:rsidRDefault="0012005A">
      <w:pPr>
        <w:pStyle w:val="Paragraphedeliste"/>
        <w:tabs>
          <w:tab w:val="left" w:pos="1335"/>
        </w:tabs>
        <w:spacing w:after="120"/>
        <w:jc w:val="both"/>
        <w:rPr>
          <w:rFonts w:ascii="Liberation Serif" w:hAnsi="Liberation Serif"/>
          <w:sz w:val="22"/>
          <w:szCs w:val="24"/>
        </w:rPr>
      </w:pPr>
    </w:p>
    <w:p w:rsidR="0012005A" w:rsidRDefault="00BF238A">
      <w:pPr>
        <w:pStyle w:val="Normal1"/>
        <w:tabs>
          <w:tab w:val="left" w:pos="1335"/>
        </w:tabs>
        <w:jc w:val="both"/>
      </w:pPr>
      <w:r>
        <w:rPr>
          <w:sz w:val="22"/>
        </w:rPr>
        <w:t>Les projets ne respectant pas l’un des critères sont écartés du processus de sélection, sans recours possible.</w:t>
      </w:r>
    </w:p>
    <w:p w:rsidR="0012005A" w:rsidRDefault="0012005A">
      <w:pPr>
        <w:pStyle w:val="Normal1"/>
        <w:tabs>
          <w:tab w:val="left" w:pos="1335"/>
        </w:tabs>
        <w:jc w:val="both"/>
        <w:rPr>
          <w:sz w:val="22"/>
        </w:rPr>
      </w:pPr>
    </w:p>
    <w:p w:rsidR="0012005A" w:rsidRDefault="00BF238A">
      <w:pPr>
        <w:pStyle w:val="Titre1"/>
        <w:numPr>
          <w:ilvl w:val="0"/>
          <w:numId w:val="3"/>
        </w:numPr>
        <w:rPr>
          <w:rFonts w:ascii="Arial" w:hAnsi="Arial" w:cs="Arial"/>
          <w:b w:val="0"/>
          <w:bCs w:val="0"/>
          <w:caps w:val="0"/>
          <w:sz w:val="24"/>
          <w:szCs w:val="24"/>
        </w:rPr>
      </w:pPr>
      <w:bookmarkStart w:id="16" w:name="_Toc500319821"/>
      <w:bookmarkStart w:id="17" w:name="_Toc498017361"/>
      <w:bookmarkStart w:id="18" w:name="_Toc499646228"/>
      <w:bookmarkStart w:id="19" w:name="_Toc501609412"/>
      <w:r>
        <w:rPr>
          <w:rFonts w:ascii="Arial" w:hAnsi="Arial" w:cs="Arial"/>
          <w:sz w:val="24"/>
          <w:szCs w:val="24"/>
        </w:rPr>
        <w:lastRenderedPageBreak/>
        <w:t xml:space="preserve">CRITERES DE SELECTION </w:t>
      </w:r>
      <w:bookmarkEnd w:id="16"/>
      <w:bookmarkEnd w:id="17"/>
      <w:bookmarkEnd w:id="18"/>
      <w:bookmarkEnd w:id="19"/>
      <w:r>
        <w:rPr>
          <w:rFonts w:ascii="Arial" w:hAnsi="Arial" w:cs="Arial"/>
          <w:sz w:val="24"/>
          <w:szCs w:val="24"/>
        </w:rPr>
        <w:t>ET PROCESSUS DE SELECTION</w:t>
      </w:r>
    </w:p>
    <w:p w:rsidR="0012005A" w:rsidRDefault="00BF238A">
      <w:pPr>
        <w:pStyle w:val="Normal1"/>
        <w:jc w:val="both"/>
        <w:rPr>
          <w:sz w:val="22"/>
          <w:szCs w:val="22"/>
        </w:rPr>
      </w:pPr>
      <w:r>
        <w:rPr>
          <w:b/>
          <w:sz w:val="22"/>
          <w:szCs w:val="22"/>
        </w:rPr>
        <w:t>Critères de sélection</w:t>
      </w:r>
    </w:p>
    <w:p w:rsidR="0012005A" w:rsidRDefault="0012005A">
      <w:pPr>
        <w:pStyle w:val="Normal1"/>
        <w:jc w:val="both"/>
        <w:rPr>
          <w:b/>
          <w:sz w:val="22"/>
          <w:szCs w:val="22"/>
        </w:rPr>
      </w:pPr>
    </w:p>
    <w:p w:rsidR="0012005A" w:rsidRDefault="00BF238A">
      <w:pPr>
        <w:pStyle w:val="Normal1"/>
        <w:jc w:val="both"/>
        <w:rPr>
          <w:iCs/>
          <w:sz w:val="22"/>
          <w:szCs w:val="22"/>
        </w:rPr>
      </w:pPr>
      <w:r>
        <w:rPr>
          <w:iCs/>
          <w:sz w:val="22"/>
          <w:szCs w:val="22"/>
        </w:rPr>
        <w:t>Une fois l’éligibilité validée, la sélection des projets s’appuiera sur les critères suivants :</w:t>
      </w:r>
    </w:p>
    <w:p w:rsidR="0012005A" w:rsidRDefault="0012005A">
      <w:pPr>
        <w:pStyle w:val="Normal1"/>
        <w:jc w:val="both"/>
        <w:rPr>
          <w:iCs/>
          <w:sz w:val="22"/>
          <w:szCs w:val="22"/>
        </w:rPr>
      </w:pPr>
    </w:p>
    <w:p w:rsidR="0012005A" w:rsidRDefault="00BF238A">
      <w:pPr>
        <w:pStyle w:val="Normal1"/>
        <w:numPr>
          <w:ilvl w:val="0"/>
          <w:numId w:val="6"/>
        </w:numPr>
        <w:spacing w:after="120"/>
        <w:jc w:val="both"/>
        <w:rPr>
          <w:sz w:val="22"/>
          <w:szCs w:val="22"/>
        </w:rPr>
      </w:pPr>
      <w:r>
        <w:rPr>
          <w:sz w:val="22"/>
          <w:szCs w:val="22"/>
        </w:rPr>
        <w:t>Caractère innovant et valeur ajoutée du projet :</w:t>
      </w:r>
    </w:p>
    <w:p w:rsidR="0012005A" w:rsidRDefault="00BF238A">
      <w:pPr>
        <w:pStyle w:val="Paragraphedeliste"/>
        <w:numPr>
          <w:ilvl w:val="0"/>
          <w:numId w:val="4"/>
        </w:numPr>
        <w:spacing w:before="120" w:after="120"/>
        <w:ind w:left="1066" w:hanging="357"/>
        <w:jc w:val="both"/>
        <w:rPr>
          <w:rFonts w:ascii="Arial" w:hAnsi="Arial" w:cs="Arial"/>
          <w:iCs/>
          <w:sz w:val="22"/>
        </w:rPr>
      </w:pPr>
      <w:r>
        <w:rPr>
          <w:rFonts w:ascii="Arial" w:hAnsi="Arial" w:cs="Arial"/>
          <w:iCs/>
          <w:sz w:val="22"/>
        </w:rPr>
        <w:t>pertinence par rapport à l’objet du Concours ;</w:t>
      </w:r>
    </w:p>
    <w:p w:rsidR="0012005A" w:rsidRDefault="00BF238A">
      <w:pPr>
        <w:pStyle w:val="Paragraphedeliste"/>
        <w:numPr>
          <w:ilvl w:val="0"/>
          <w:numId w:val="4"/>
        </w:numPr>
        <w:spacing w:after="120"/>
        <w:jc w:val="both"/>
      </w:pPr>
      <w:r>
        <w:rPr>
          <w:rFonts w:ascii="Arial" w:hAnsi="Arial" w:cs="Arial"/>
          <w:iCs/>
          <w:sz w:val="22"/>
        </w:rPr>
        <w:t>maturité technologique suffisante du projet ;</w:t>
      </w:r>
    </w:p>
    <w:p w:rsidR="0012005A" w:rsidRDefault="00BF238A">
      <w:pPr>
        <w:pStyle w:val="Paragraphedeliste"/>
        <w:numPr>
          <w:ilvl w:val="0"/>
          <w:numId w:val="4"/>
        </w:numPr>
        <w:spacing w:after="120"/>
        <w:jc w:val="both"/>
        <w:rPr>
          <w:rFonts w:ascii="Arial" w:hAnsi="Arial" w:cs="Arial"/>
          <w:iCs/>
          <w:sz w:val="22"/>
        </w:rPr>
      </w:pPr>
      <w:r>
        <w:rPr>
          <w:rFonts w:ascii="Arial" w:hAnsi="Arial" w:cs="Arial"/>
          <w:iCs/>
          <w:sz w:val="22"/>
        </w:rPr>
        <w:t xml:space="preserve">degré de rupture en termes d’innovation technologique ou non technologique (offre, organisation, modèle d’affaires) et caractère innovant par rapport à l’état de l’art européen; </w:t>
      </w:r>
    </w:p>
    <w:p w:rsidR="0012005A" w:rsidRDefault="00BF238A">
      <w:pPr>
        <w:pStyle w:val="Paragraphedeliste"/>
        <w:numPr>
          <w:ilvl w:val="0"/>
          <w:numId w:val="4"/>
        </w:numPr>
        <w:spacing w:after="120"/>
        <w:jc w:val="both"/>
        <w:rPr>
          <w:rFonts w:ascii="Arial" w:hAnsi="Arial" w:cs="Arial"/>
          <w:iCs/>
          <w:sz w:val="22"/>
        </w:rPr>
      </w:pPr>
      <w:r>
        <w:rPr>
          <w:rFonts w:ascii="Arial" w:hAnsi="Arial" w:cs="Arial"/>
          <w:iCs/>
          <w:sz w:val="22"/>
        </w:rPr>
        <w:t>développement de nouveaux produits ou services, à fort contenu innovant et valeur ajoutée, conduisant à une mise sur le marché et à la génération de retombées économiques ;</w:t>
      </w:r>
    </w:p>
    <w:p w:rsidR="0012005A" w:rsidRDefault="00BF238A">
      <w:pPr>
        <w:pStyle w:val="Paragraphedeliste"/>
        <w:numPr>
          <w:ilvl w:val="0"/>
          <w:numId w:val="4"/>
        </w:numPr>
        <w:spacing w:after="120"/>
        <w:jc w:val="both"/>
      </w:pPr>
      <w:r>
        <w:rPr>
          <w:rFonts w:ascii="Arial" w:hAnsi="Arial" w:cs="Arial"/>
          <w:iCs/>
          <w:sz w:val="22"/>
        </w:rPr>
        <w:t>pertinence de la durée du projet en cohérence avec l’ambition des travaux à mener.</w:t>
      </w:r>
    </w:p>
    <w:p w:rsidR="0012005A" w:rsidRDefault="00BF238A">
      <w:pPr>
        <w:pStyle w:val="Paragraphedeliste"/>
        <w:numPr>
          <w:ilvl w:val="0"/>
          <w:numId w:val="7"/>
        </w:numPr>
        <w:spacing w:after="120"/>
        <w:ind w:left="720" w:hanging="363"/>
        <w:jc w:val="both"/>
        <w:rPr>
          <w:rFonts w:ascii="Arial" w:hAnsi="Arial" w:cs="Arial"/>
          <w:sz w:val="22"/>
        </w:rPr>
      </w:pPr>
      <w:r>
        <w:rPr>
          <w:rFonts w:ascii="Arial" w:hAnsi="Arial" w:cs="Arial"/>
          <w:sz w:val="22"/>
        </w:rPr>
        <w:t>Impact économique du projet :</w:t>
      </w:r>
    </w:p>
    <w:p w:rsidR="0012005A" w:rsidRDefault="00BF238A">
      <w:pPr>
        <w:pStyle w:val="Paragraphedeliste"/>
        <w:numPr>
          <w:ilvl w:val="0"/>
          <w:numId w:val="4"/>
        </w:numPr>
        <w:spacing w:before="120" w:after="120"/>
        <w:ind w:left="1066" w:hanging="357"/>
        <w:jc w:val="both"/>
        <w:rPr>
          <w:rFonts w:ascii="Arial" w:hAnsi="Arial" w:cs="Arial"/>
          <w:sz w:val="22"/>
        </w:rPr>
      </w:pPr>
      <w:r>
        <w:rPr>
          <w:rFonts w:ascii="Arial" w:hAnsi="Arial" w:cs="Arial"/>
          <w:iCs/>
          <w:sz w:val="22"/>
        </w:rPr>
        <w:t>qualité et robustesse du modèle économique (et notamment modèle de valorisation et d’exploitation et analyse du coût complet de la solution développée dans le projet), et du plan d’affaires proposé, démontrant notamment un retour sur investissements pour le porteur ;</w:t>
      </w:r>
    </w:p>
    <w:p w:rsidR="0012005A" w:rsidRDefault="00BF238A">
      <w:pPr>
        <w:pStyle w:val="Paragraphedeliste"/>
        <w:numPr>
          <w:ilvl w:val="0"/>
          <w:numId w:val="4"/>
        </w:numPr>
        <w:spacing w:after="120"/>
        <w:jc w:val="both"/>
        <w:rPr>
          <w:rFonts w:ascii="Arial" w:hAnsi="Arial" w:cs="Arial"/>
          <w:sz w:val="22"/>
        </w:rPr>
      </w:pPr>
      <w:r>
        <w:rPr>
          <w:rFonts w:ascii="Arial" w:hAnsi="Arial" w:cs="Arial"/>
          <w:iCs/>
          <w:sz w:val="22"/>
        </w:rPr>
        <w:t>marché potentiel de la solution développée (une analyse du marché visé doit être fournie) ;</w:t>
      </w:r>
    </w:p>
    <w:p w:rsidR="0012005A" w:rsidRDefault="00BF238A">
      <w:pPr>
        <w:pStyle w:val="Paragraphedeliste"/>
        <w:numPr>
          <w:ilvl w:val="0"/>
          <w:numId w:val="4"/>
        </w:numPr>
        <w:spacing w:after="120"/>
        <w:jc w:val="both"/>
        <w:rPr>
          <w:rFonts w:ascii="Arial" w:hAnsi="Arial" w:cs="Arial"/>
          <w:sz w:val="22"/>
        </w:rPr>
      </w:pPr>
      <w:r>
        <w:rPr>
          <w:rFonts w:ascii="Arial" w:hAnsi="Arial" w:cs="Arial"/>
          <w:iCs/>
          <w:sz w:val="22"/>
        </w:rPr>
        <w:t>retombées économiques et emplois sur les territoires (y compris des tâches sous-traitées), issues directement du projet, des suites qu’il donnera ou, en tant que de besoin, de sa cohérence avec les politiques territoriales ;</w:t>
      </w:r>
    </w:p>
    <w:p w:rsidR="0012005A" w:rsidRDefault="00BF238A">
      <w:pPr>
        <w:pStyle w:val="Paragraphedeliste"/>
        <w:numPr>
          <w:ilvl w:val="0"/>
          <w:numId w:val="4"/>
        </w:numPr>
        <w:spacing w:after="120"/>
        <w:jc w:val="both"/>
        <w:rPr>
          <w:rFonts w:ascii="Arial" w:hAnsi="Arial" w:cs="Arial"/>
          <w:sz w:val="22"/>
        </w:rPr>
      </w:pPr>
      <w:r>
        <w:rPr>
          <w:rFonts w:ascii="Arial" w:hAnsi="Arial" w:cs="Arial"/>
          <w:iCs/>
          <w:sz w:val="22"/>
        </w:rPr>
        <w:t>externalités socio-économiques favorables du projet ;</w:t>
      </w:r>
    </w:p>
    <w:p w:rsidR="0012005A" w:rsidRDefault="00BF238A">
      <w:pPr>
        <w:pStyle w:val="Paragraphedeliste"/>
        <w:numPr>
          <w:ilvl w:val="0"/>
          <w:numId w:val="4"/>
        </w:numPr>
        <w:spacing w:after="120"/>
        <w:jc w:val="both"/>
        <w:rPr>
          <w:rFonts w:ascii="Arial" w:hAnsi="Arial" w:cs="Arial"/>
          <w:sz w:val="22"/>
        </w:rPr>
      </w:pPr>
      <w:r>
        <w:rPr>
          <w:rFonts w:ascii="Arial" w:hAnsi="Arial" w:cs="Arial"/>
          <w:iCs/>
          <w:sz w:val="22"/>
        </w:rPr>
        <w:t>caractère généralisable de la solution innovante développée dans le cadre du projet soumis et présence d’un marché rendant possible sa diffusion.</w:t>
      </w:r>
    </w:p>
    <w:p w:rsidR="0012005A" w:rsidRDefault="00BF238A">
      <w:pPr>
        <w:pStyle w:val="Paragraphedeliste"/>
        <w:keepNext/>
        <w:numPr>
          <w:ilvl w:val="0"/>
          <w:numId w:val="2"/>
        </w:numPr>
        <w:jc w:val="both"/>
        <w:rPr>
          <w:rFonts w:ascii="Arial" w:hAnsi="Arial" w:cs="Arial"/>
          <w:sz w:val="22"/>
        </w:rPr>
      </w:pPr>
      <w:r>
        <w:rPr>
          <w:rFonts w:ascii="Arial" w:hAnsi="Arial" w:cs="Arial"/>
          <w:sz w:val="22"/>
        </w:rPr>
        <w:t>Capacité du porteur à porter le projet :</w:t>
      </w:r>
    </w:p>
    <w:p w:rsidR="0012005A" w:rsidRDefault="00BF238A">
      <w:pPr>
        <w:pStyle w:val="Paragraphedeliste"/>
        <w:numPr>
          <w:ilvl w:val="0"/>
          <w:numId w:val="4"/>
        </w:numPr>
        <w:spacing w:before="120" w:after="120"/>
        <w:ind w:left="1066" w:hanging="357"/>
        <w:jc w:val="both"/>
        <w:rPr>
          <w:rFonts w:ascii="Arial" w:hAnsi="Arial" w:cs="Arial"/>
          <w:sz w:val="22"/>
        </w:rPr>
      </w:pPr>
      <w:r>
        <w:rPr>
          <w:rFonts w:ascii="Arial" w:hAnsi="Arial" w:cs="Arial"/>
          <w:iCs/>
          <w:sz w:val="22"/>
        </w:rPr>
        <w:t>capacité du porteur à mener à bien le projet, notamment opérationnelle et financière. Les bénéficiaires doivent en particulier présenter des capitaux propres</w:t>
      </w:r>
      <w:r>
        <w:rPr>
          <w:rStyle w:val="Ancredenotedebasdepage"/>
          <w:rFonts w:ascii="Arial" w:hAnsi="Arial" w:cs="Arial"/>
          <w:iCs/>
          <w:sz w:val="22"/>
        </w:rPr>
        <w:footnoteReference w:id="2"/>
      </w:r>
      <w:r>
        <w:rPr>
          <w:rFonts w:ascii="Arial" w:hAnsi="Arial" w:cs="Arial"/>
          <w:iCs/>
          <w:sz w:val="22"/>
        </w:rPr>
        <w:t xml:space="preserve"> et un plan de financement en cohérence avec l’importance des travaux qu’ils se proposent de mener dans le cadre du projet présenté ;capacité du porteur à assurer l’industrialisation du projet et à accéder aux marchés visés ;</w:t>
      </w:r>
    </w:p>
    <w:p w:rsidR="0012005A" w:rsidRDefault="00BF238A">
      <w:pPr>
        <w:pStyle w:val="Paragraphedeliste"/>
        <w:numPr>
          <w:ilvl w:val="0"/>
          <w:numId w:val="4"/>
        </w:numPr>
        <w:spacing w:before="120" w:after="120"/>
        <w:ind w:left="1066" w:hanging="357"/>
        <w:jc w:val="both"/>
      </w:pPr>
      <w:r>
        <w:rPr>
          <w:rFonts w:ascii="Arial" w:hAnsi="Arial" w:cs="Arial"/>
          <w:iCs/>
          <w:sz w:val="22"/>
        </w:rPr>
        <w:t>adéquation des compétences de l’équipe dédiée au projet, notamment en matière de développement rapide de projet innovant.</w:t>
      </w:r>
    </w:p>
    <w:p w:rsidR="0012005A" w:rsidRDefault="00BF238A">
      <w:pPr>
        <w:suppressAutoHyphens w:val="0"/>
        <w:rPr>
          <w:rFonts w:ascii="Arial" w:eastAsia="Calibri" w:hAnsi="Arial" w:cs="Arial"/>
          <w:color w:val="000000"/>
          <w:sz w:val="22"/>
          <w:szCs w:val="22"/>
          <w:lang w:eastAsia="en-US" w:bidi="hi-IN"/>
        </w:rPr>
      </w:pPr>
      <w:r>
        <w:br w:type="page"/>
      </w:r>
    </w:p>
    <w:p w:rsidR="0012005A" w:rsidRDefault="0012005A">
      <w:pPr>
        <w:pStyle w:val="Paragraphedeliste"/>
        <w:tabs>
          <w:tab w:val="left" w:pos="3138"/>
        </w:tabs>
        <w:spacing w:after="120"/>
        <w:ind w:left="709"/>
        <w:jc w:val="both"/>
        <w:rPr>
          <w:rFonts w:ascii="Arial" w:hAnsi="Arial" w:cs="Arial"/>
          <w:sz w:val="22"/>
        </w:rPr>
      </w:pPr>
    </w:p>
    <w:p w:rsidR="0012005A" w:rsidRDefault="00BF238A">
      <w:pPr>
        <w:pStyle w:val="Paragraphedeliste"/>
        <w:numPr>
          <w:ilvl w:val="0"/>
          <w:numId w:val="12"/>
        </w:numPr>
        <w:tabs>
          <w:tab w:val="left" w:pos="3138"/>
        </w:tabs>
        <w:spacing w:after="120"/>
        <w:ind w:left="709"/>
        <w:jc w:val="both"/>
        <w:rPr>
          <w:rFonts w:ascii="Arial" w:hAnsi="Arial" w:cs="Arial"/>
          <w:sz w:val="22"/>
        </w:rPr>
      </w:pPr>
      <w:r>
        <w:rPr>
          <w:rFonts w:ascii="Arial" w:eastAsia="Times New Roman" w:hAnsi="Arial" w:cs="Arial"/>
          <w:iCs/>
          <w:sz w:val="22"/>
          <w:lang w:eastAsia="ar-SA"/>
        </w:rPr>
        <w:t>Critère d’éco-conditionnalité du projet :</w:t>
      </w:r>
    </w:p>
    <w:p w:rsidR="0012005A" w:rsidRDefault="00BF238A">
      <w:pPr>
        <w:pStyle w:val="Paragraphedeliste"/>
        <w:numPr>
          <w:ilvl w:val="0"/>
          <w:numId w:val="4"/>
        </w:numPr>
        <w:spacing w:after="120"/>
        <w:jc w:val="both"/>
        <w:rPr>
          <w:rFonts w:ascii="Arial" w:hAnsi="Arial" w:cs="Arial"/>
          <w:sz w:val="22"/>
        </w:rPr>
      </w:pPr>
      <w:r>
        <w:rPr>
          <w:rFonts w:ascii="Arial" w:hAnsi="Arial" w:cs="Arial"/>
          <w:iCs/>
          <w:sz w:val="22"/>
        </w:rPr>
        <w:t>pertinence du projet par rapport aux enjeux écologiques et énergétiques (caractère éco-conditionnel du projet, voir tableau à compléter dans le dossier de candidature).</w:t>
      </w:r>
      <w:bookmarkStart w:id="20" w:name="__RefHeading__12833_1298835588"/>
      <w:bookmarkEnd w:id="20"/>
      <w:r>
        <w:rPr>
          <w:rFonts w:ascii="Arial" w:hAnsi="Arial" w:cs="Arial"/>
          <w:iCs/>
          <w:sz w:val="22"/>
        </w:rPr>
        <w:t xml:space="preserve"> En particulier, chaque projet doit expliciter sa contribution au développement durable, en présentant les effets quantifiés, autant que faire se peut, positifs, neutres ou négatifs, estimés pour les axes ci-dessous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utilisation, avec ou sans production, d’énergies renouvelables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efficacité énergétique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climat via la réduction des gaz à effet de serre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qualité de l’air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qualité de l’eau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consommation des ressources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réduction des déchets ;</w:t>
      </w:r>
    </w:p>
    <w:p w:rsidR="0012005A" w:rsidRDefault="00BF238A">
      <w:pPr>
        <w:pStyle w:val="Normal1"/>
        <w:numPr>
          <w:ilvl w:val="3"/>
          <w:numId w:val="5"/>
        </w:numPr>
        <w:spacing w:before="120"/>
        <w:ind w:left="1797" w:hanging="357"/>
        <w:jc w:val="both"/>
        <w:rPr>
          <w:rFonts w:eastAsia="Calibri"/>
          <w:iCs/>
          <w:sz w:val="22"/>
          <w:szCs w:val="22"/>
          <w:lang w:eastAsia="en-US"/>
        </w:rPr>
      </w:pPr>
      <w:r>
        <w:rPr>
          <w:rFonts w:eastAsia="Calibri"/>
          <w:iCs/>
          <w:sz w:val="22"/>
          <w:szCs w:val="22"/>
          <w:lang w:eastAsia="en-US"/>
        </w:rPr>
        <w:t>impact sur la biodiversité ;</w:t>
      </w:r>
    </w:p>
    <w:p w:rsidR="0012005A" w:rsidRDefault="0012005A">
      <w:pPr>
        <w:pStyle w:val="Normal1"/>
        <w:spacing w:before="120"/>
        <w:ind w:left="1797"/>
        <w:jc w:val="both"/>
        <w:rPr>
          <w:rFonts w:eastAsia="Calibri"/>
          <w:iCs/>
          <w:sz w:val="22"/>
          <w:szCs w:val="22"/>
          <w:lang w:eastAsia="en-US"/>
        </w:rPr>
      </w:pPr>
    </w:p>
    <w:p w:rsidR="0012005A" w:rsidRDefault="00BF238A">
      <w:pPr>
        <w:pStyle w:val="Normal1"/>
        <w:spacing w:after="120"/>
        <w:jc w:val="both"/>
        <w:rPr>
          <w:sz w:val="22"/>
          <w:szCs w:val="22"/>
        </w:rPr>
      </w:pPr>
      <w:r>
        <w:rPr>
          <w:b/>
          <w:sz w:val="22"/>
          <w:szCs w:val="22"/>
        </w:rPr>
        <w:t>Processus de sélection</w:t>
      </w:r>
    </w:p>
    <w:p w:rsidR="0012005A" w:rsidRDefault="00BF238A">
      <w:pPr>
        <w:pStyle w:val="Normal1"/>
        <w:jc w:val="both"/>
      </w:pPr>
      <w:r>
        <w:rPr>
          <w:sz w:val="22"/>
          <w:szCs w:val="22"/>
        </w:rPr>
        <w:t xml:space="preserve">Un Comité de pilotage (COPIL), </w:t>
      </w:r>
      <w:r>
        <w:rPr>
          <w:iCs/>
          <w:sz w:val="22"/>
          <w:szCs w:val="22"/>
        </w:rPr>
        <w:t>composé de représentants de la Direction générale des entreprises, du Commissariat général au développement durable, et de la Direction générale de la recherche et de l’innovation et présidé par la Direction générale de la performance économique et environnementale des entreprises, gère cette action. 2 personnalité</w:t>
      </w:r>
      <w:r w:rsidR="00C7124C">
        <w:rPr>
          <w:iCs/>
          <w:sz w:val="22"/>
          <w:szCs w:val="22"/>
        </w:rPr>
        <w:t xml:space="preserve">s qualifiées y sont associées. </w:t>
      </w:r>
      <w:r>
        <w:rPr>
          <w:iCs/>
          <w:sz w:val="22"/>
          <w:szCs w:val="22"/>
        </w:rPr>
        <w:t xml:space="preserve">Un représentant de </w:t>
      </w:r>
      <w:proofErr w:type="spellStart"/>
      <w:r>
        <w:rPr>
          <w:sz w:val="22"/>
        </w:rPr>
        <w:t>Bpifrance</w:t>
      </w:r>
      <w:proofErr w:type="spellEnd"/>
      <w:r>
        <w:rPr>
          <w:sz w:val="22"/>
        </w:rPr>
        <w:t xml:space="preserve"> et un représentant de l’ADEME</w:t>
      </w:r>
      <w:r>
        <w:rPr>
          <w:iCs/>
          <w:sz w:val="22"/>
          <w:szCs w:val="22"/>
        </w:rPr>
        <w:t xml:space="preserve"> sont également invités à participer au COPIL, sans voix délibérative.</w:t>
      </w:r>
    </w:p>
    <w:p w:rsidR="0012005A" w:rsidRDefault="00BF238A">
      <w:pPr>
        <w:pStyle w:val="Normal1"/>
        <w:spacing w:before="120"/>
        <w:jc w:val="both"/>
        <w:rPr>
          <w:sz w:val="22"/>
          <w:szCs w:val="22"/>
        </w:rPr>
      </w:pPr>
      <w:r>
        <w:rPr>
          <w:sz w:val="22"/>
          <w:szCs w:val="22"/>
        </w:rPr>
        <w:t xml:space="preserve">A l’issue de la date de clôture du Concours, </w:t>
      </w:r>
      <w:proofErr w:type="spellStart"/>
      <w:r>
        <w:rPr>
          <w:sz w:val="22"/>
          <w:szCs w:val="22"/>
        </w:rPr>
        <w:t>FranceAgriMer</w:t>
      </w:r>
      <w:proofErr w:type="spellEnd"/>
      <w:r>
        <w:rPr>
          <w:sz w:val="22"/>
          <w:szCs w:val="22"/>
        </w:rPr>
        <w:t xml:space="preserve"> conduit une première analyse en termes d’éligibilité. Le COPIL sélectionne les projets pour une audition, en fonction des critères techniques, économiques et d’opportunité des projets reçus. </w:t>
      </w:r>
    </w:p>
    <w:p w:rsidR="0012005A" w:rsidRDefault="00BF238A">
      <w:pPr>
        <w:pStyle w:val="Normal1"/>
        <w:spacing w:before="120" w:after="0"/>
        <w:jc w:val="both"/>
        <w:rPr>
          <w:iCs/>
          <w:sz w:val="22"/>
          <w:szCs w:val="22"/>
        </w:rPr>
      </w:pPr>
      <w:r>
        <w:rPr>
          <w:iCs/>
          <w:sz w:val="22"/>
          <w:szCs w:val="22"/>
        </w:rPr>
        <w:t>Les porteurs des projets ainsi présélectionnés sont auditionnés par un jury. Chaque audition dure 40 minutes selon le format suivant :</w:t>
      </w:r>
    </w:p>
    <w:p w:rsidR="0012005A" w:rsidRDefault="00BF238A">
      <w:pPr>
        <w:pStyle w:val="Paragraphedeliste"/>
        <w:keepNext/>
        <w:numPr>
          <w:ilvl w:val="0"/>
          <w:numId w:val="2"/>
        </w:numPr>
        <w:spacing w:before="120"/>
        <w:ind w:left="714" w:hanging="357"/>
        <w:jc w:val="both"/>
        <w:rPr>
          <w:rFonts w:ascii="Arial" w:hAnsi="Arial" w:cs="Arial"/>
          <w:sz w:val="22"/>
        </w:rPr>
      </w:pPr>
      <w:r>
        <w:rPr>
          <w:rFonts w:ascii="Arial" w:hAnsi="Arial" w:cs="Arial"/>
          <w:sz w:val="22"/>
        </w:rPr>
        <w:t>présentation de l’entreprise et du projet (20 mn) ;</w:t>
      </w:r>
    </w:p>
    <w:p w:rsidR="0012005A" w:rsidRDefault="00BF238A">
      <w:pPr>
        <w:pStyle w:val="Paragraphedeliste"/>
        <w:keepNext/>
        <w:numPr>
          <w:ilvl w:val="0"/>
          <w:numId w:val="2"/>
        </w:numPr>
        <w:spacing w:before="120"/>
        <w:ind w:left="714" w:hanging="357"/>
        <w:jc w:val="both"/>
        <w:rPr>
          <w:rFonts w:ascii="Arial" w:hAnsi="Arial" w:cs="Arial"/>
          <w:sz w:val="22"/>
        </w:rPr>
      </w:pPr>
      <w:r>
        <w:rPr>
          <w:rFonts w:ascii="Arial" w:hAnsi="Arial" w:cs="Arial"/>
          <w:sz w:val="22"/>
        </w:rPr>
        <w:t>questions du jury et réponses du porteur (20 mn).</w:t>
      </w:r>
    </w:p>
    <w:p w:rsidR="0012005A" w:rsidRDefault="0012005A">
      <w:pPr>
        <w:pStyle w:val="Paragraphedeliste"/>
        <w:spacing w:before="120"/>
        <w:ind w:left="714" w:hanging="357"/>
        <w:jc w:val="both"/>
        <w:rPr>
          <w:rFonts w:ascii="Arial" w:hAnsi="Arial" w:cs="Arial"/>
          <w:sz w:val="22"/>
        </w:rPr>
      </w:pPr>
    </w:p>
    <w:p w:rsidR="0012005A" w:rsidRDefault="00BF238A">
      <w:pPr>
        <w:pStyle w:val="Normal1"/>
        <w:jc w:val="both"/>
        <w:rPr>
          <w:iCs/>
          <w:sz w:val="22"/>
          <w:szCs w:val="22"/>
        </w:rPr>
      </w:pPr>
      <w:r>
        <w:rPr>
          <w:sz w:val="22"/>
          <w:szCs w:val="22"/>
        </w:rPr>
        <w:t xml:space="preserve">Sur la base de l’avis du jury d’audition, le COPIL </w:t>
      </w:r>
      <w:r>
        <w:rPr>
          <w:iCs/>
          <w:sz w:val="22"/>
          <w:szCs w:val="22"/>
        </w:rPr>
        <w:t xml:space="preserve">décide, en accord avec le Commissariat général à l’Investissement (CGI), des projets qui entrent en phase d’instruction. </w:t>
      </w:r>
      <w:r>
        <w:rPr>
          <w:sz w:val="22"/>
          <w:szCs w:val="22"/>
        </w:rPr>
        <w:t xml:space="preserve">L’instruction vise à détecter et sélectionner les projets les plus prometteurs et qui </w:t>
      </w:r>
      <w:r>
        <w:rPr>
          <w:iCs/>
          <w:sz w:val="22"/>
          <w:szCs w:val="22"/>
        </w:rPr>
        <w:t xml:space="preserve">respectent l’ambition du Programme d’investissements d’avenir. </w:t>
      </w:r>
    </w:p>
    <w:p w:rsidR="0012005A" w:rsidRDefault="0012005A">
      <w:pPr>
        <w:pStyle w:val="Normal1"/>
        <w:jc w:val="both"/>
        <w:rPr>
          <w:sz w:val="22"/>
          <w:szCs w:val="22"/>
        </w:rPr>
      </w:pPr>
    </w:p>
    <w:p w:rsidR="0012005A" w:rsidRDefault="00BF238A">
      <w:pPr>
        <w:pStyle w:val="Normal1"/>
        <w:spacing w:after="120"/>
        <w:jc w:val="both"/>
        <w:rPr>
          <w:iCs/>
          <w:sz w:val="22"/>
          <w:szCs w:val="22"/>
        </w:rPr>
      </w:pPr>
      <w:r>
        <w:rPr>
          <w:iCs/>
          <w:sz w:val="22"/>
          <w:szCs w:val="22"/>
        </w:rPr>
        <w:t xml:space="preserve">Les projets peuvent faire l’objet de deux types d’instruction distincts : </w:t>
      </w:r>
    </w:p>
    <w:p w:rsidR="0012005A" w:rsidRDefault="00BF238A">
      <w:pPr>
        <w:pStyle w:val="Normal1"/>
        <w:numPr>
          <w:ilvl w:val="0"/>
          <w:numId w:val="11"/>
        </w:numPr>
        <w:spacing w:after="120"/>
        <w:jc w:val="both"/>
        <w:rPr>
          <w:sz w:val="22"/>
          <w:szCs w:val="22"/>
        </w:rPr>
      </w:pPr>
      <w:r>
        <w:rPr>
          <w:sz w:val="22"/>
          <w:szCs w:val="22"/>
        </w:rPr>
        <w:t xml:space="preserve">phase d’instruction « standard » des projets : </w:t>
      </w:r>
    </w:p>
    <w:p w:rsidR="0012005A" w:rsidRDefault="00BF238A">
      <w:pPr>
        <w:pStyle w:val="Normal1"/>
        <w:spacing w:after="120"/>
        <w:jc w:val="both"/>
      </w:pPr>
      <w:r>
        <w:rPr>
          <w:sz w:val="22"/>
          <w:szCs w:val="22"/>
        </w:rPr>
        <w:t xml:space="preserve">Elle s’applique aux projets dont le coût total est compris entre 600 et 800 k€. L’instruction est conduite sous la responsabilité de </w:t>
      </w:r>
      <w:proofErr w:type="spellStart"/>
      <w:r>
        <w:rPr>
          <w:sz w:val="22"/>
          <w:szCs w:val="22"/>
        </w:rPr>
        <w:t>FranceAgriMer</w:t>
      </w:r>
      <w:proofErr w:type="spellEnd"/>
      <w:r>
        <w:rPr>
          <w:sz w:val="22"/>
          <w:szCs w:val="22"/>
        </w:rPr>
        <w:t xml:space="preserve">. Sur la base de cette instruction, le COPIL rend un avis d’opportunité de financement au CGI. La décision d’octroi de l’aide financière est prise par </w:t>
      </w:r>
      <w:r>
        <w:rPr>
          <w:sz w:val="22"/>
          <w:szCs w:val="22"/>
        </w:rPr>
        <w:lastRenderedPageBreak/>
        <w:t>le Premier ministre et intervient, dans le cas général, sous un délai de 6 semaines à partir de la date de clôture du Concours.</w:t>
      </w:r>
    </w:p>
    <w:p w:rsidR="0012005A" w:rsidRDefault="0012005A">
      <w:pPr>
        <w:pStyle w:val="Normal1"/>
        <w:spacing w:after="120"/>
        <w:jc w:val="both"/>
        <w:rPr>
          <w:sz w:val="22"/>
          <w:szCs w:val="22"/>
        </w:rPr>
      </w:pPr>
    </w:p>
    <w:p w:rsidR="0012005A" w:rsidRDefault="00BF238A">
      <w:pPr>
        <w:pStyle w:val="Normal1"/>
        <w:numPr>
          <w:ilvl w:val="0"/>
          <w:numId w:val="11"/>
        </w:numPr>
        <w:spacing w:after="120"/>
        <w:jc w:val="both"/>
        <w:rPr>
          <w:sz w:val="22"/>
          <w:szCs w:val="22"/>
        </w:rPr>
      </w:pPr>
      <w:r>
        <w:rPr>
          <w:sz w:val="22"/>
          <w:szCs w:val="22"/>
        </w:rPr>
        <w:t xml:space="preserve">phase d’instruction « approfondie » des projets : </w:t>
      </w:r>
    </w:p>
    <w:p w:rsidR="0012005A" w:rsidRDefault="00BF238A">
      <w:pPr>
        <w:spacing w:after="120"/>
        <w:jc w:val="both"/>
      </w:pPr>
      <w:r>
        <w:rPr>
          <w:rFonts w:ascii="Arial" w:hAnsi="Arial" w:cs="Arial"/>
          <w:sz w:val="22"/>
          <w:szCs w:val="22"/>
        </w:rPr>
        <w:t xml:space="preserve">Elle s’applique aux projets dont le coût total se situe entre 800 k€ et 5 M€. </w:t>
      </w:r>
    </w:p>
    <w:p w:rsidR="0012005A" w:rsidRDefault="00BF238A">
      <w:pPr>
        <w:pStyle w:val="Normal1"/>
        <w:spacing w:before="120" w:after="0"/>
        <w:jc w:val="both"/>
        <w:rPr>
          <w:iCs/>
          <w:sz w:val="22"/>
          <w:szCs w:val="22"/>
        </w:rPr>
      </w:pPr>
      <w:r>
        <w:rPr>
          <w:iCs/>
          <w:sz w:val="22"/>
          <w:szCs w:val="22"/>
        </w:rPr>
        <w:t xml:space="preserve">L’instruction est conduite sous la responsabilité de </w:t>
      </w:r>
      <w:proofErr w:type="spellStart"/>
      <w:r>
        <w:rPr>
          <w:iCs/>
          <w:sz w:val="22"/>
          <w:szCs w:val="22"/>
        </w:rPr>
        <w:t>FranceAgriMer</w:t>
      </w:r>
      <w:proofErr w:type="spellEnd"/>
      <w:r>
        <w:rPr>
          <w:iCs/>
          <w:sz w:val="22"/>
          <w:szCs w:val="22"/>
        </w:rPr>
        <w:t xml:space="preserve">, qui s’appuie sur un ou deux experts externes. Dans ce cadre, le porteur est invité à détailler de façon approfondie son projet lors d’une réunion d’expertise sous un format d’une demi-journée. </w:t>
      </w:r>
    </w:p>
    <w:p w:rsidR="0012005A" w:rsidRDefault="00BF238A">
      <w:pPr>
        <w:pStyle w:val="Normal1"/>
        <w:spacing w:before="120" w:after="0"/>
        <w:jc w:val="both"/>
        <w:rPr>
          <w:iCs/>
          <w:sz w:val="22"/>
          <w:szCs w:val="22"/>
        </w:rPr>
      </w:pPr>
      <w:r>
        <w:rPr>
          <w:iCs/>
          <w:sz w:val="22"/>
          <w:szCs w:val="22"/>
        </w:rPr>
        <w:t xml:space="preserve">A l’issue de cette phase d’instruction, </w:t>
      </w:r>
      <w:proofErr w:type="spellStart"/>
      <w:r>
        <w:rPr>
          <w:iCs/>
          <w:sz w:val="22"/>
          <w:szCs w:val="22"/>
        </w:rPr>
        <w:t>FranceAgriMer</w:t>
      </w:r>
      <w:proofErr w:type="spellEnd"/>
      <w:r>
        <w:rPr>
          <w:iCs/>
          <w:sz w:val="22"/>
          <w:szCs w:val="22"/>
        </w:rPr>
        <w:t xml:space="preserve"> présente au COPIL les conclusions de l’instruction qui comprennent les recommandations et propositions écrites d’un éventuel soutien. Sur la base de cette instruction, le COPIL rend un avis d’opportunité de financement au CGI. La décision d’octroi de l’aide financière est prise par le Premier ministre et intervient dans le cas général sous un délai de 4 mois à partir de la date de clôture du Concours. </w:t>
      </w:r>
    </w:p>
    <w:p w:rsidR="0012005A" w:rsidRDefault="0012005A">
      <w:pPr>
        <w:pStyle w:val="Normal1"/>
        <w:spacing w:before="120" w:after="0"/>
        <w:jc w:val="both"/>
        <w:rPr>
          <w:sz w:val="22"/>
          <w:szCs w:val="22"/>
        </w:rPr>
      </w:pPr>
    </w:p>
    <w:p w:rsidR="0012005A" w:rsidRDefault="00BF238A">
      <w:pPr>
        <w:pStyle w:val="Normal1"/>
        <w:spacing w:before="120" w:after="120"/>
        <w:jc w:val="both"/>
        <w:rPr>
          <w:sz w:val="22"/>
          <w:szCs w:val="22"/>
        </w:rPr>
      </w:pPr>
      <w:r>
        <w:rPr>
          <w:iCs/>
          <w:sz w:val="22"/>
          <w:szCs w:val="22"/>
        </w:rPr>
        <w:t>Le calendrier prévisionnel de sélection et d’instruction est le suivant :</w:t>
      </w:r>
    </w:p>
    <w:tbl>
      <w:tblPr>
        <w:tblW w:w="963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412"/>
        <w:gridCol w:w="2182"/>
        <w:gridCol w:w="2618"/>
        <w:gridCol w:w="2421"/>
      </w:tblGrid>
      <w:tr w:rsidR="0012005A">
        <w:trPr>
          <w:trHeight w:val="566"/>
        </w:trPr>
        <w:tc>
          <w:tcPr>
            <w:tcW w:w="241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12005A" w:rsidRDefault="0012005A">
            <w:pPr>
              <w:pStyle w:val="Normal1"/>
              <w:jc w:val="center"/>
              <w:rPr>
                <w:iCs/>
                <w:sz w:val="22"/>
                <w:szCs w:val="22"/>
              </w:rPr>
            </w:pPr>
          </w:p>
        </w:tc>
        <w:tc>
          <w:tcPr>
            <w:tcW w:w="21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iCs/>
                <w:sz w:val="22"/>
                <w:szCs w:val="22"/>
              </w:rPr>
            </w:pPr>
            <w:r>
              <w:rPr>
                <w:iCs/>
                <w:sz w:val="22"/>
                <w:szCs w:val="22"/>
              </w:rPr>
              <w:t>Clôture du Concours</w:t>
            </w:r>
          </w:p>
        </w:tc>
        <w:tc>
          <w:tcPr>
            <w:tcW w:w="2618"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iCs/>
                <w:sz w:val="22"/>
                <w:szCs w:val="22"/>
              </w:rPr>
            </w:pPr>
            <w:r>
              <w:rPr>
                <w:iCs/>
                <w:sz w:val="22"/>
                <w:szCs w:val="22"/>
              </w:rPr>
              <w:t>Jurys d’audition</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iCs/>
                <w:sz w:val="22"/>
                <w:szCs w:val="22"/>
              </w:rPr>
            </w:pPr>
            <w:r>
              <w:rPr>
                <w:iCs/>
                <w:sz w:val="22"/>
                <w:szCs w:val="22"/>
              </w:rPr>
              <w:t>Sélection des lauréats</w:t>
            </w:r>
          </w:p>
        </w:tc>
      </w:tr>
      <w:tr w:rsidR="0012005A">
        <w:trPr>
          <w:trHeight w:val="566"/>
        </w:trPr>
        <w:tc>
          <w:tcPr>
            <w:tcW w:w="241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12005A" w:rsidRDefault="00BF238A">
            <w:pPr>
              <w:pStyle w:val="Normal1"/>
              <w:jc w:val="center"/>
              <w:rPr>
                <w:sz w:val="22"/>
                <w:szCs w:val="22"/>
              </w:rPr>
            </w:pPr>
            <w:r>
              <w:rPr>
                <w:sz w:val="22"/>
                <w:szCs w:val="22"/>
              </w:rPr>
              <w:t>Projets - Coûts totaux (600k€&lt; &lt;800k€)</w:t>
            </w:r>
          </w:p>
        </w:tc>
        <w:tc>
          <w:tcPr>
            <w:tcW w:w="21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sz w:val="22"/>
                <w:szCs w:val="22"/>
              </w:rPr>
            </w:pPr>
            <w:r>
              <w:rPr>
                <w:sz w:val="22"/>
                <w:szCs w:val="22"/>
              </w:rPr>
              <w:t>13 mars 2018</w:t>
            </w:r>
          </w:p>
        </w:tc>
        <w:tc>
          <w:tcPr>
            <w:tcW w:w="2618"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iCs/>
                <w:sz w:val="22"/>
                <w:szCs w:val="22"/>
              </w:rPr>
            </w:pPr>
            <w:r>
              <w:rPr>
                <w:iCs/>
                <w:sz w:val="22"/>
                <w:szCs w:val="22"/>
              </w:rPr>
              <w:t>Semaine du 9 avril 2018</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iCs/>
                <w:sz w:val="22"/>
                <w:szCs w:val="22"/>
              </w:rPr>
            </w:pPr>
            <w:r>
              <w:rPr>
                <w:iCs/>
                <w:sz w:val="22"/>
                <w:szCs w:val="22"/>
              </w:rPr>
              <w:t>Début mai 2018</w:t>
            </w:r>
          </w:p>
        </w:tc>
      </w:tr>
      <w:tr w:rsidR="0012005A">
        <w:trPr>
          <w:trHeight w:val="566"/>
        </w:trPr>
        <w:tc>
          <w:tcPr>
            <w:tcW w:w="241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12005A" w:rsidRDefault="00BF238A">
            <w:pPr>
              <w:pStyle w:val="Normal1"/>
              <w:jc w:val="center"/>
              <w:rPr>
                <w:sz w:val="22"/>
                <w:szCs w:val="22"/>
              </w:rPr>
            </w:pPr>
            <w:r>
              <w:rPr>
                <w:sz w:val="22"/>
                <w:szCs w:val="22"/>
              </w:rPr>
              <w:t>Projets - Coûts totaux</w:t>
            </w:r>
          </w:p>
          <w:p w:rsidR="0012005A" w:rsidRDefault="00BF238A">
            <w:pPr>
              <w:pStyle w:val="Normal1"/>
              <w:jc w:val="center"/>
              <w:rPr>
                <w:sz w:val="22"/>
                <w:szCs w:val="22"/>
              </w:rPr>
            </w:pPr>
            <w:r>
              <w:rPr>
                <w:sz w:val="22"/>
                <w:szCs w:val="22"/>
              </w:rPr>
              <w:t>(800k€≤ &lt;5M€)</w:t>
            </w:r>
          </w:p>
        </w:tc>
        <w:tc>
          <w:tcPr>
            <w:tcW w:w="21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sz w:val="22"/>
                <w:szCs w:val="22"/>
              </w:rPr>
            </w:pPr>
            <w:r>
              <w:rPr>
                <w:sz w:val="22"/>
                <w:szCs w:val="22"/>
              </w:rPr>
              <w:t>13 mars 2018</w:t>
            </w:r>
          </w:p>
        </w:tc>
        <w:tc>
          <w:tcPr>
            <w:tcW w:w="2618"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iCs/>
                <w:sz w:val="22"/>
                <w:szCs w:val="22"/>
              </w:rPr>
            </w:pPr>
            <w:r>
              <w:rPr>
                <w:iCs/>
                <w:sz w:val="22"/>
                <w:szCs w:val="22"/>
              </w:rPr>
              <w:t>Semaine du 9 avril 2018</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12005A" w:rsidRDefault="00BF238A">
            <w:pPr>
              <w:pStyle w:val="Normal1"/>
              <w:jc w:val="center"/>
              <w:rPr>
                <w:sz w:val="22"/>
                <w:szCs w:val="22"/>
              </w:rPr>
            </w:pPr>
            <w:r>
              <w:rPr>
                <w:iCs/>
                <w:sz w:val="22"/>
                <w:szCs w:val="22"/>
              </w:rPr>
              <w:t>Fin juin 2018</w:t>
            </w:r>
          </w:p>
        </w:tc>
      </w:tr>
    </w:tbl>
    <w:p w:rsidR="0012005A" w:rsidRDefault="0012005A">
      <w:pPr>
        <w:pStyle w:val="Normal1"/>
        <w:spacing w:before="120" w:after="120"/>
      </w:pPr>
    </w:p>
    <w:p w:rsidR="0012005A" w:rsidRDefault="0012005A">
      <w:pPr>
        <w:pStyle w:val="Normal1"/>
        <w:rPr>
          <w:b/>
          <w:bCs/>
          <w:caps/>
          <w:color w:val="3CB6EC"/>
        </w:rPr>
      </w:pPr>
      <w:bookmarkStart w:id="21" w:name="_Toc429412718"/>
      <w:bookmarkEnd w:id="21"/>
    </w:p>
    <w:p w:rsidR="0012005A" w:rsidRDefault="00BF238A">
      <w:pPr>
        <w:pStyle w:val="Titre1"/>
        <w:numPr>
          <w:ilvl w:val="0"/>
          <w:numId w:val="3"/>
        </w:numPr>
        <w:rPr>
          <w:rFonts w:ascii="Arial" w:hAnsi="Arial" w:cs="Arial"/>
          <w:b w:val="0"/>
          <w:bCs w:val="0"/>
          <w:caps w:val="0"/>
          <w:sz w:val="24"/>
          <w:szCs w:val="24"/>
        </w:rPr>
      </w:pPr>
      <w:bookmarkStart w:id="22" w:name="_Toc429412719"/>
      <w:bookmarkStart w:id="23" w:name="_Toc408561622"/>
      <w:bookmarkStart w:id="24" w:name="_Toc501609413"/>
      <w:bookmarkStart w:id="25" w:name="_Toc498017362"/>
      <w:bookmarkStart w:id="26" w:name="_Toc500319822"/>
      <w:bookmarkStart w:id="27" w:name="_Toc499646229"/>
      <w:bookmarkEnd w:id="22"/>
      <w:bookmarkEnd w:id="23"/>
      <w:r>
        <w:rPr>
          <w:rFonts w:ascii="Arial" w:hAnsi="Arial" w:cs="Arial"/>
          <w:sz w:val="24"/>
          <w:szCs w:val="24"/>
        </w:rPr>
        <w:lastRenderedPageBreak/>
        <w:t>LABEL POLE DE COMPETITIVITE</w:t>
      </w:r>
      <w:bookmarkEnd w:id="24"/>
      <w:bookmarkEnd w:id="25"/>
      <w:bookmarkEnd w:id="26"/>
      <w:bookmarkEnd w:id="27"/>
      <w:r>
        <w:rPr>
          <w:rFonts w:ascii="Arial" w:hAnsi="Arial" w:cs="Arial"/>
          <w:sz w:val="24"/>
          <w:szCs w:val="24"/>
        </w:rPr>
        <w:t xml:space="preserve"> </w:t>
      </w:r>
    </w:p>
    <w:p w:rsidR="0012005A" w:rsidRDefault="00BF238A">
      <w:pPr>
        <w:pStyle w:val="Normal1"/>
        <w:spacing w:before="120"/>
        <w:jc w:val="both"/>
        <w:rPr>
          <w:sz w:val="22"/>
          <w:szCs w:val="22"/>
        </w:rPr>
      </w:pPr>
      <w:r>
        <w:rPr>
          <w:sz w:val="22"/>
        </w:rPr>
        <w:t>Le projet peut être labellisé, au choix du porteur, par un ou plusieurs pôles de compétitivité. Cette labellisation est facultative pour répondre au Concours.</w:t>
      </w:r>
    </w:p>
    <w:p w:rsidR="0012005A" w:rsidRDefault="00BF238A">
      <w:pPr>
        <w:pStyle w:val="Normal1"/>
        <w:spacing w:before="120"/>
        <w:jc w:val="both"/>
        <w:rPr>
          <w:sz w:val="22"/>
          <w:szCs w:val="22"/>
        </w:rPr>
      </w:pPr>
      <w:r>
        <w:rPr>
          <w:sz w:val="22"/>
        </w:rPr>
        <w:t>La labellisation constitue un acte de reconnaissance par un pôle de compétitivité de l’intérêt du projet par rapport aux axes stratégiques du pôle, à l’écosystème et à ses cibles marché. La labellisation permet de confronter la pertinence du projet à la vision d’experts reconnus. Elle peut aussi permettre un accompagnement du porteur du projet dans sa démarche de définition et de structuration du projet, et améliorer ses chances de succès.</w:t>
      </w:r>
    </w:p>
    <w:p w:rsidR="0012005A" w:rsidRDefault="00BF238A">
      <w:pPr>
        <w:pStyle w:val="Normal1"/>
        <w:spacing w:before="120"/>
        <w:jc w:val="both"/>
      </w:pPr>
      <w:r>
        <w:rPr>
          <w:rFonts w:eastAsia="Times New Roman"/>
          <w:sz w:val="22"/>
          <w:lang w:bidi="ar-SA"/>
        </w:rPr>
        <w:t xml:space="preserve">La labellisation du projet par un pôle de compétitivité est une information prise en compte dans le processus de présélection des projets, sur la base du rapport du comité de labellisation du pôle </w:t>
      </w:r>
      <w:r>
        <w:rPr>
          <w:sz w:val="22"/>
        </w:rPr>
        <w:t>établi selon les critères du présent cahier des charges</w:t>
      </w:r>
      <w:bookmarkStart w:id="28" w:name="_Toc429412720"/>
      <w:bookmarkStart w:id="29" w:name="_Toc500319823"/>
      <w:bookmarkEnd w:id="28"/>
      <w:r>
        <w:rPr>
          <w:rFonts w:eastAsia="Times New Roman"/>
          <w:sz w:val="22"/>
          <w:lang w:bidi="ar-SA"/>
        </w:rPr>
        <w:t>. Elle est également portée à la connaissance des membres du jury</w:t>
      </w:r>
      <w:r>
        <w:rPr>
          <w:rFonts w:eastAsia="Times New Roman"/>
          <w:lang w:bidi="ar-SA"/>
        </w:rPr>
        <w:t xml:space="preserve">. </w:t>
      </w:r>
    </w:p>
    <w:p w:rsidR="0012005A" w:rsidRDefault="0012005A">
      <w:pPr>
        <w:pStyle w:val="Normal1"/>
        <w:jc w:val="both"/>
        <w:rPr>
          <w:rFonts w:eastAsia="Times New Roman"/>
          <w:lang w:bidi="ar-SA"/>
        </w:rPr>
      </w:pPr>
    </w:p>
    <w:p w:rsidR="0012005A" w:rsidRDefault="00BF238A">
      <w:pPr>
        <w:pStyle w:val="Titre1"/>
        <w:numPr>
          <w:ilvl w:val="0"/>
          <w:numId w:val="3"/>
        </w:numPr>
        <w:rPr>
          <w:rFonts w:ascii="Arial" w:hAnsi="Arial" w:cs="Arial"/>
          <w:b w:val="0"/>
          <w:bCs w:val="0"/>
          <w:caps w:val="0"/>
          <w:sz w:val="24"/>
          <w:szCs w:val="24"/>
        </w:rPr>
      </w:pPr>
      <w:bookmarkStart w:id="30" w:name="_Toc499646230"/>
      <w:bookmarkStart w:id="31" w:name="_Toc501609414"/>
      <w:bookmarkEnd w:id="30"/>
      <w:r>
        <w:rPr>
          <w:rFonts w:ascii="Arial" w:hAnsi="Arial" w:cs="Arial"/>
          <w:sz w:val="24"/>
          <w:szCs w:val="24"/>
        </w:rPr>
        <w:lastRenderedPageBreak/>
        <w:t>F</w:t>
      </w:r>
      <w:bookmarkEnd w:id="29"/>
      <w:bookmarkEnd w:id="31"/>
      <w:r>
        <w:rPr>
          <w:rFonts w:ascii="Arial" w:hAnsi="Arial" w:cs="Arial"/>
          <w:sz w:val="24"/>
          <w:szCs w:val="24"/>
        </w:rPr>
        <w:t>INANCEMENT OCTROYE</w:t>
      </w:r>
    </w:p>
    <w:p w:rsidR="0012005A" w:rsidRDefault="00BF238A">
      <w:pPr>
        <w:pStyle w:val="Normal1"/>
        <w:spacing w:before="120" w:after="120"/>
        <w:rPr>
          <w:sz w:val="22"/>
        </w:rPr>
      </w:pPr>
      <w:r>
        <w:rPr>
          <w:b/>
          <w:sz w:val="22"/>
        </w:rPr>
        <w:t>Coûts éligibles et retenus</w:t>
      </w:r>
    </w:p>
    <w:p w:rsidR="0012005A" w:rsidRDefault="00BF238A">
      <w:pPr>
        <w:pStyle w:val="Normal1"/>
        <w:spacing w:before="120" w:after="120"/>
        <w:jc w:val="both"/>
      </w:pPr>
      <w:bookmarkStart w:id="32" w:name="__DdeLink__1155_2053208272"/>
      <w:r>
        <w:rPr>
          <w:sz w:val="22"/>
        </w:rPr>
        <w:t>Les dépenses liées au projet sont à présenter HT</w:t>
      </w:r>
      <w:bookmarkEnd w:id="32"/>
      <w:r>
        <w:rPr>
          <w:sz w:val="22"/>
        </w:rPr>
        <w:t xml:space="preserve"> et selon la ventilation requise dans la base de données des coûts du projet en annexe 2 du dossier de candidature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salaires de personnel interne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frais connexes forfaitaires</w:t>
      </w:r>
      <w:r>
        <w:rPr>
          <w:rStyle w:val="Ancredenotedebasdepage"/>
          <w:rFonts w:ascii="Arial" w:hAnsi="Arial" w:cs="Arial"/>
          <w:sz w:val="22"/>
          <w:szCs w:val="24"/>
        </w:rPr>
        <w:footnoteReference w:id="3"/>
      </w:r>
      <w:r>
        <w:rPr>
          <w:rFonts w:ascii="Arial" w:hAnsi="Arial" w:cs="Arial"/>
          <w:sz w:val="22"/>
          <w:szCs w:val="24"/>
        </w:rPr>
        <w:t xml:space="preserve"> ; coûts de sous-traitance, dans la limite de 30% des coûts totaux, sauf justification spécifique à fournir par le porteur; contributions aux amortissements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frais de mission directement liés au projet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 xml:space="preserve">autres coûts : refacturation interne, achats, consommables… </w:t>
      </w:r>
    </w:p>
    <w:p w:rsidR="0012005A" w:rsidRDefault="00BF238A">
      <w:pPr>
        <w:pStyle w:val="Paragraphedeliste"/>
        <w:spacing w:before="120" w:after="120"/>
        <w:jc w:val="both"/>
        <w:rPr>
          <w:rFonts w:ascii="Arial" w:hAnsi="Arial"/>
          <w:sz w:val="22"/>
        </w:rPr>
      </w:pPr>
      <w:proofErr w:type="spellStart"/>
      <w:r>
        <w:rPr>
          <w:rFonts w:ascii="Arial" w:hAnsi="Arial"/>
          <w:sz w:val="22"/>
        </w:rPr>
        <w:t>FranceAgriMer</w:t>
      </w:r>
      <w:proofErr w:type="spellEnd"/>
      <w:r>
        <w:rPr>
          <w:rFonts w:ascii="Arial" w:hAnsi="Arial"/>
          <w:sz w:val="22"/>
        </w:rPr>
        <w:t xml:space="preserve"> détermine le cas échéant parmi les coûts présentés ceux qui sont éligibles et retenus pour le financement.</w:t>
      </w:r>
    </w:p>
    <w:p w:rsidR="0012005A" w:rsidRDefault="0012005A">
      <w:pPr>
        <w:pStyle w:val="Paragraphedeliste"/>
        <w:spacing w:before="120" w:after="120"/>
        <w:jc w:val="both"/>
        <w:rPr>
          <w:sz w:val="22"/>
        </w:rPr>
      </w:pPr>
    </w:p>
    <w:p w:rsidR="0012005A" w:rsidRDefault="00BF238A">
      <w:pPr>
        <w:pStyle w:val="Normal1"/>
        <w:rPr>
          <w:sz w:val="22"/>
        </w:rPr>
      </w:pPr>
      <w:r>
        <w:rPr>
          <w:b/>
          <w:sz w:val="22"/>
        </w:rPr>
        <w:t>Intensité et modalité des aides</w:t>
      </w:r>
    </w:p>
    <w:p w:rsidR="0012005A" w:rsidRDefault="00BF238A">
      <w:pPr>
        <w:pStyle w:val="Normal1"/>
        <w:keepNext/>
        <w:spacing w:before="120" w:after="120"/>
        <w:jc w:val="both"/>
        <w:rPr>
          <w:sz w:val="22"/>
        </w:rPr>
      </w:pPr>
      <w:r>
        <w:rPr>
          <w:sz w:val="22"/>
        </w:rPr>
        <w:t>Les projets sélectionnés bénéficieront d’un financement partiel des dépenses qui correspond à un taux d’aide appliqué à l’assiette des coûts éligibles et retenus du projet dans la limite des taux d’intervention maximaux autorisés par la Commission européenne à savoir :</w:t>
      </w:r>
    </w:p>
    <w:tbl>
      <w:tblPr>
        <w:tblStyle w:val="Grilledutableau"/>
        <w:tblW w:w="6405" w:type="dxa"/>
        <w:tblInd w:w="1405" w:type="dxa"/>
        <w:tblCellMar>
          <w:left w:w="73" w:type="dxa"/>
        </w:tblCellMar>
        <w:tblLook w:val="04A0" w:firstRow="1" w:lastRow="0" w:firstColumn="1" w:lastColumn="0" w:noHBand="0" w:noVBand="1"/>
      </w:tblPr>
      <w:tblGrid>
        <w:gridCol w:w="2111"/>
        <w:gridCol w:w="2145"/>
        <w:gridCol w:w="2149"/>
      </w:tblGrid>
      <w:tr w:rsidR="0012005A">
        <w:trPr>
          <w:trHeight w:val="784"/>
        </w:trPr>
        <w:tc>
          <w:tcPr>
            <w:tcW w:w="2111" w:type="dxa"/>
            <w:shd w:val="clear" w:color="auto" w:fill="auto"/>
            <w:tcMar>
              <w:left w:w="73" w:type="dxa"/>
            </w:tcMar>
            <w:vAlign w:val="center"/>
          </w:tcPr>
          <w:p w:rsidR="0012005A" w:rsidRDefault="00BF238A">
            <w:pPr>
              <w:pStyle w:val="Paragraphedeliste"/>
              <w:ind w:left="0"/>
              <w:rPr>
                <w:rFonts w:ascii="Arial" w:hAnsi="Arial" w:cs="Arial"/>
                <w:sz w:val="22"/>
              </w:rPr>
            </w:pPr>
            <w:r>
              <w:rPr>
                <w:rFonts w:ascii="Arial" w:hAnsi="Arial" w:cs="Arial"/>
                <w:sz w:val="22"/>
                <w:szCs w:val="24"/>
              </w:rPr>
              <w:t>Catégorie d’entreprise</w:t>
            </w:r>
          </w:p>
        </w:tc>
        <w:tc>
          <w:tcPr>
            <w:tcW w:w="2145" w:type="dxa"/>
            <w:shd w:val="clear" w:color="auto" w:fill="auto"/>
            <w:tcMar>
              <w:left w:w="73" w:type="dxa"/>
            </w:tcMar>
            <w:vAlign w:val="center"/>
          </w:tcPr>
          <w:p w:rsidR="0012005A" w:rsidRDefault="00BF238A">
            <w:pPr>
              <w:pStyle w:val="Paragraphedeliste"/>
              <w:ind w:left="0"/>
              <w:jc w:val="center"/>
              <w:rPr>
                <w:rFonts w:ascii="Arial" w:hAnsi="Arial" w:cs="Arial"/>
                <w:sz w:val="22"/>
              </w:rPr>
            </w:pPr>
            <w:r>
              <w:rPr>
                <w:rFonts w:ascii="Arial" w:hAnsi="Arial" w:cs="Arial"/>
                <w:sz w:val="22"/>
                <w:szCs w:val="24"/>
              </w:rPr>
              <w:t>Petites entreprises (PE)</w:t>
            </w:r>
          </w:p>
        </w:tc>
        <w:tc>
          <w:tcPr>
            <w:tcW w:w="2149" w:type="dxa"/>
            <w:shd w:val="clear" w:color="auto" w:fill="auto"/>
            <w:tcMar>
              <w:left w:w="73" w:type="dxa"/>
            </w:tcMar>
            <w:vAlign w:val="center"/>
          </w:tcPr>
          <w:p w:rsidR="0012005A" w:rsidRDefault="00BF238A">
            <w:pPr>
              <w:pStyle w:val="Paragraphedeliste"/>
              <w:ind w:left="0"/>
              <w:jc w:val="center"/>
              <w:rPr>
                <w:rFonts w:ascii="Arial" w:hAnsi="Arial" w:cs="Arial"/>
                <w:sz w:val="22"/>
              </w:rPr>
            </w:pPr>
            <w:r>
              <w:rPr>
                <w:rFonts w:ascii="Arial" w:hAnsi="Arial" w:cs="Arial"/>
                <w:sz w:val="22"/>
                <w:szCs w:val="24"/>
              </w:rPr>
              <w:t>Moyennes entreprises (ME)</w:t>
            </w:r>
          </w:p>
        </w:tc>
      </w:tr>
      <w:tr w:rsidR="0012005A">
        <w:trPr>
          <w:trHeight w:val="467"/>
        </w:trPr>
        <w:tc>
          <w:tcPr>
            <w:tcW w:w="2111" w:type="dxa"/>
            <w:shd w:val="clear" w:color="auto" w:fill="auto"/>
            <w:tcMar>
              <w:left w:w="73" w:type="dxa"/>
            </w:tcMar>
            <w:vAlign w:val="center"/>
          </w:tcPr>
          <w:p w:rsidR="0012005A" w:rsidRDefault="00BF238A">
            <w:pPr>
              <w:pStyle w:val="Paragraphedeliste"/>
              <w:ind w:left="0"/>
              <w:rPr>
                <w:rFonts w:ascii="Arial" w:hAnsi="Arial" w:cs="Arial"/>
                <w:sz w:val="22"/>
              </w:rPr>
            </w:pPr>
            <w:r>
              <w:rPr>
                <w:rFonts w:ascii="Arial" w:hAnsi="Arial" w:cs="Arial"/>
                <w:sz w:val="22"/>
                <w:szCs w:val="24"/>
              </w:rPr>
              <w:t>Intensité d’aide</w:t>
            </w:r>
          </w:p>
        </w:tc>
        <w:tc>
          <w:tcPr>
            <w:tcW w:w="2145" w:type="dxa"/>
            <w:shd w:val="clear" w:color="auto" w:fill="auto"/>
            <w:tcMar>
              <w:left w:w="73" w:type="dxa"/>
            </w:tcMar>
            <w:vAlign w:val="center"/>
          </w:tcPr>
          <w:p w:rsidR="0012005A" w:rsidRDefault="00BF238A">
            <w:pPr>
              <w:pStyle w:val="Paragraphedeliste"/>
              <w:ind w:left="0"/>
              <w:jc w:val="center"/>
              <w:rPr>
                <w:rFonts w:ascii="Arial" w:hAnsi="Arial" w:cs="Arial"/>
                <w:sz w:val="22"/>
              </w:rPr>
            </w:pPr>
            <w:r>
              <w:rPr>
                <w:rFonts w:ascii="Arial" w:hAnsi="Arial" w:cs="Arial"/>
                <w:sz w:val="22"/>
                <w:szCs w:val="24"/>
              </w:rPr>
              <w:t>45%</w:t>
            </w:r>
          </w:p>
        </w:tc>
        <w:tc>
          <w:tcPr>
            <w:tcW w:w="2149" w:type="dxa"/>
            <w:shd w:val="clear" w:color="auto" w:fill="auto"/>
            <w:tcMar>
              <w:left w:w="73" w:type="dxa"/>
            </w:tcMar>
            <w:vAlign w:val="center"/>
          </w:tcPr>
          <w:p w:rsidR="0012005A" w:rsidRDefault="00BF238A">
            <w:pPr>
              <w:pStyle w:val="Paragraphedeliste"/>
              <w:ind w:left="0"/>
              <w:jc w:val="center"/>
              <w:rPr>
                <w:rFonts w:ascii="Arial" w:hAnsi="Arial" w:cs="Arial"/>
                <w:sz w:val="22"/>
              </w:rPr>
            </w:pPr>
            <w:r>
              <w:rPr>
                <w:rFonts w:ascii="Arial" w:hAnsi="Arial" w:cs="Arial"/>
                <w:sz w:val="22"/>
                <w:szCs w:val="24"/>
              </w:rPr>
              <w:t>35%</w:t>
            </w:r>
          </w:p>
        </w:tc>
      </w:tr>
    </w:tbl>
    <w:p w:rsidR="0012005A" w:rsidRDefault="0012005A">
      <w:pPr>
        <w:pStyle w:val="Normal1"/>
        <w:jc w:val="both"/>
        <w:rPr>
          <w:sz w:val="22"/>
        </w:rPr>
      </w:pPr>
    </w:p>
    <w:p w:rsidR="0012005A" w:rsidRDefault="00BF238A">
      <w:pPr>
        <w:pStyle w:val="Normal1"/>
        <w:jc w:val="both"/>
        <w:rPr>
          <w:sz w:val="22"/>
        </w:rPr>
      </w:pPr>
      <w:r>
        <w:rPr>
          <w:sz w:val="22"/>
        </w:rPr>
        <w:t xml:space="preserve">Dans le cas général, la modalité d’attribution de l’aide est forfaitaire et respecte la répartition suivante : </w:t>
      </w:r>
    </w:p>
    <w:p w:rsidR="0012005A" w:rsidRDefault="00BF238A">
      <w:pPr>
        <w:pStyle w:val="Paragraphedeliste"/>
        <w:keepNext/>
        <w:numPr>
          <w:ilvl w:val="0"/>
          <w:numId w:val="2"/>
        </w:numPr>
        <w:spacing w:before="120"/>
        <w:ind w:left="714" w:hanging="357"/>
        <w:jc w:val="both"/>
        <w:rPr>
          <w:rFonts w:ascii="Arial" w:hAnsi="Arial" w:cs="Arial"/>
          <w:sz w:val="22"/>
        </w:rPr>
      </w:pPr>
      <w:r>
        <w:rPr>
          <w:rFonts w:ascii="Arial" w:hAnsi="Arial" w:cs="Arial"/>
          <w:sz w:val="22"/>
          <w:szCs w:val="24"/>
        </w:rPr>
        <w:t>2/3 de l’aide attribuée sous la forme de subventions ;</w:t>
      </w:r>
    </w:p>
    <w:p w:rsidR="0012005A" w:rsidRDefault="00BF238A">
      <w:pPr>
        <w:pStyle w:val="Paragraphedeliste"/>
        <w:keepNext/>
        <w:numPr>
          <w:ilvl w:val="0"/>
          <w:numId w:val="2"/>
        </w:numPr>
        <w:spacing w:before="120" w:line="276" w:lineRule="auto"/>
        <w:ind w:left="714" w:hanging="357"/>
        <w:jc w:val="both"/>
        <w:rPr>
          <w:rFonts w:ascii="Arial" w:hAnsi="Arial" w:cs="Arial"/>
          <w:sz w:val="22"/>
        </w:rPr>
      </w:pPr>
      <w:r>
        <w:rPr>
          <w:rFonts w:ascii="Arial" w:hAnsi="Arial" w:cs="Arial"/>
          <w:sz w:val="22"/>
          <w:szCs w:val="24"/>
        </w:rPr>
        <w:t>1/3 de l’aide attribuée sous la forme d’avances récupérables.</w:t>
      </w:r>
    </w:p>
    <w:p w:rsidR="0012005A" w:rsidRDefault="00BF238A">
      <w:pPr>
        <w:pStyle w:val="Normal1"/>
        <w:jc w:val="both"/>
        <w:rPr>
          <w:sz w:val="22"/>
        </w:rPr>
      </w:pPr>
      <w:r>
        <w:rPr>
          <w:sz w:val="22"/>
        </w:rPr>
        <w:t>Le montant des avances récupérables ne pourra pas être inférieur à 100 k€ par projet. Dans le cas d’un projet bénéficiant d’une aide inférieure à 300 k€, la partie subvention de l’aide vient donc en complément du seuil minimum de 100 k€ d’avances récupérables.</w:t>
      </w:r>
    </w:p>
    <w:p w:rsidR="0012005A" w:rsidRDefault="00BF238A">
      <w:pPr>
        <w:pStyle w:val="Normal1"/>
        <w:spacing w:before="120" w:after="120"/>
        <w:jc w:val="both"/>
        <w:rPr>
          <w:sz w:val="22"/>
        </w:rPr>
      </w:pPr>
      <w:r>
        <w:rPr>
          <w:sz w:val="22"/>
        </w:rPr>
        <w:t>Ces aides sont accordées conformément au Régime cadre exempté de notification N° SA.40391 relatif aux aides à la recherche, au développement et à l’innovation (RDI) pour la période 2014-2020.</w:t>
      </w:r>
    </w:p>
    <w:p w:rsidR="0012005A" w:rsidRDefault="0012005A">
      <w:pPr>
        <w:pStyle w:val="Normal1"/>
        <w:spacing w:before="120" w:after="120"/>
        <w:jc w:val="both"/>
        <w:rPr>
          <w:sz w:val="22"/>
        </w:rPr>
      </w:pPr>
    </w:p>
    <w:p w:rsidR="0012005A" w:rsidRDefault="00BF238A">
      <w:pPr>
        <w:pStyle w:val="Normal1"/>
        <w:spacing w:before="120" w:after="120"/>
        <w:rPr>
          <w:b/>
          <w:sz w:val="22"/>
        </w:rPr>
      </w:pPr>
      <w:r>
        <w:rPr>
          <w:b/>
          <w:sz w:val="22"/>
        </w:rPr>
        <w:t>Versement des aides</w:t>
      </w:r>
    </w:p>
    <w:p w:rsidR="0012005A" w:rsidRDefault="00BF238A">
      <w:pPr>
        <w:pStyle w:val="Normal1"/>
        <w:spacing w:before="120" w:after="120"/>
        <w:jc w:val="both"/>
      </w:pPr>
      <w:r>
        <w:rPr>
          <w:sz w:val="22"/>
        </w:rPr>
        <w:t xml:space="preserve">Le versement d’une avance intervient après la réception par </w:t>
      </w:r>
      <w:proofErr w:type="spellStart"/>
      <w:r>
        <w:rPr>
          <w:sz w:val="22"/>
        </w:rPr>
        <w:t>FranceAgriMer</w:t>
      </w:r>
      <w:proofErr w:type="spellEnd"/>
      <w:r>
        <w:rPr>
          <w:sz w:val="22"/>
        </w:rPr>
        <w:t xml:space="preserve"> de la convention signée par l’entreprise. Le versement des aides intervient dans les conditions suivantes :</w:t>
      </w:r>
    </w:p>
    <w:p w:rsidR="0012005A" w:rsidRDefault="00BF238A">
      <w:pPr>
        <w:pStyle w:val="Paragraphedeliste"/>
        <w:numPr>
          <w:ilvl w:val="0"/>
          <w:numId w:val="10"/>
        </w:numPr>
        <w:spacing w:before="120" w:after="120"/>
        <w:ind w:left="709"/>
        <w:jc w:val="both"/>
        <w:rPr>
          <w:sz w:val="22"/>
        </w:rPr>
      </w:pPr>
      <w:r>
        <w:rPr>
          <w:rFonts w:ascii="Arial" w:hAnsi="Arial" w:cs="Arial"/>
          <w:sz w:val="22"/>
          <w:szCs w:val="24"/>
        </w:rPr>
        <w:t xml:space="preserve">versement d’une avance à notification, d’un montant maximal de 200 k€ dans la limite de 70% du montant de l’aide octroyée ;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lastRenderedPageBreak/>
        <w:t xml:space="preserve">le cas échéant, un ou deux versements intermédiaires peuvent être réalisés sur présentation d’un état récapitulatif des dépenses (ERD) intermédiaire et d’un rapport intermédiaire ;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le solde, de 20% minimum, est versé suite à la remise d’un rapport final, technique et financier.</w:t>
      </w:r>
    </w:p>
    <w:p w:rsidR="0012005A" w:rsidRDefault="0012005A">
      <w:pPr>
        <w:pStyle w:val="Paragraphedeliste"/>
        <w:keepNext/>
        <w:spacing w:before="120"/>
        <w:ind w:left="714"/>
        <w:jc w:val="both"/>
        <w:rPr>
          <w:rFonts w:ascii="Liberation Serif" w:hAnsi="Liberation Serif"/>
          <w:sz w:val="22"/>
        </w:rPr>
      </w:pPr>
    </w:p>
    <w:p w:rsidR="0012005A" w:rsidRDefault="00BF238A">
      <w:pPr>
        <w:pStyle w:val="Normal1"/>
        <w:spacing w:after="120"/>
        <w:jc w:val="both"/>
      </w:pPr>
      <w:r>
        <w:rPr>
          <w:sz w:val="22"/>
        </w:rPr>
        <w:t>Le montant des capitaux propres</w:t>
      </w:r>
      <w:bookmarkStart w:id="33" w:name="__RefHeading__12835_1298835588"/>
      <w:bookmarkStart w:id="34" w:name="_Toc360181672"/>
      <w:bookmarkEnd w:id="33"/>
      <w:bookmarkEnd w:id="34"/>
      <w:r>
        <w:rPr>
          <w:sz w:val="22"/>
        </w:rPr>
        <w:t xml:space="preserve"> aux dates des versements de l’aide doit être supérieur ou égal au montant du cumul des aides versées.</w:t>
      </w:r>
    </w:p>
    <w:p w:rsidR="0012005A" w:rsidRDefault="0012005A">
      <w:pPr>
        <w:pStyle w:val="Normal1"/>
        <w:spacing w:after="120"/>
        <w:jc w:val="both"/>
        <w:rPr>
          <w:sz w:val="22"/>
        </w:rPr>
      </w:pPr>
    </w:p>
    <w:p w:rsidR="0012005A" w:rsidRDefault="00BF238A">
      <w:pPr>
        <w:pStyle w:val="Normal1"/>
        <w:spacing w:before="120" w:after="120"/>
        <w:rPr>
          <w:sz w:val="22"/>
        </w:rPr>
      </w:pPr>
      <w:r>
        <w:rPr>
          <w:b/>
          <w:sz w:val="22"/>
        </w:rPr>
        <w:t>Rapport final</w:t>
      </w:r>
    </w:p>
    <w:p w:rsidR="0012005A" w:rsidRDefault="00BF238A">
      <w:pPr>
        <w:pStyle w:val="Normal1"/>
        <w:spacing w:before="120" w:after="120"/>
        <w:jc w:val="both"/>
        <w:rPr>
          <w:iCs/>
          <w:sz w:val="22"/>
        </w:rPr>
      </w:pPr>
      <w:r>
        <w:rPr>
          <w:iCs/>
          <w:sz w:val="22"/>
        </w:rPr>
        <w:t xml:space="preserve">Le bénéficiaire s’engage à respecter les indications qui lui sont données par </w:t>
      </w:r>
      <w:proofErr w:type="spellStart"/>
      <w:r>
        <w:rPr>
          <w:iCs/>
          <w:sz w:val="22"/>
        </w:rPr>
        <w:t>FranceAgriMer</w:t>
      </w:r>
      <w:proofErr w:type="spellEnd"/>
      <w:r>
        <w:rPr>
          <w:iCs/>
          <w:sz w:val="22"/>
        </w:rPr>
        <w:t xml:space="preserve"> pour la fourniture, la présentation et la diffusion du rapport final de l’opération qui doit être remis dans les 6 mois suivants la fin du projet. En cas de non-conformité des dépenses exposées avec le projet présenté lors du dépôt du dossier, ou en cas d’abandon du projet, un reversement total ou partiel de l’aide est exigé.</w:t>
      </w:r>
    </w:p>
    <w:p w:rsidR="0012005A" w:rsidRDefault="00BF238A">
      <w:pPr>
        <w:pStyle w:val="Normal1"/>
        <w:spacing w:before="120" w:after="120"/>
        <w:jc w:val="both"/>
        <w:rPr>
          <w:sz w:val="22"/>
        </w:rPr>
      </w:pPr>
      <w:r>
        <w:rPr>
          <w:iCs/>
          <w:sz w:val="22"/>
        </w:rPr>
        <w:t>Le rapport final devra préciser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les résultats obtenus et leur valorisation potentielle à l’issue du projet, en lien avec les objectifs décrits dans le dossier de candidature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un état récapitulatif des dépenses effectuées dans le cadre du projet, certifié exact par le bénéficiaire et visé par son commissaire aux comptes ou, à défaut, par son expert-comptable, conformément à la réglementation en vigueur.</w:t>
      </w:r>
    </w:p>
    <w:p w:rsidR="0012005A" w:rsidRDefault="0012005A">
      <w:pPr>
        <w:pStyle w:val="Normal1"/>
        <w:spacing w:before="120" w:after="120"/>
        <w:rPr>
          <w:iCs/>
          <w:sz w:val="22"/>
        </w:rPr>
      </w:pPr>
    </w:p>
    <w:p w:rsidR="0012005A" w:rsidRDefault="00BF238A">
      <w:pPr>
        <w:pStyle w:val="Normal1"/>
        <w:spacing w:before="120" w:after="120"/>
        <w:rPr>
          <w:sz w:val="22"/>
        </w:rPr>
      </w:pPr>
      <w:r>
        <w:rPr>
          <w:b/>
          <w:sz w:val="22"/>
        </w:rPr>
        <w:t>Modalités de remboursement des avances récupérables et éventuels versements complémentaires</w:t>
      </w:r>
    </w:p>
    <w:p w:rsidR="0012005A" w:rsidRDefault="00BF238A">
      <w:pPr>
        <w:pStyle w:val="Normal1"/>
        <w:jc w:val="both"/>
        <w:rPr>
          <w:sz w:val="22"/>
        </w:rPr>
      </w:pPr>
      <w:r>
        <w:rPr>
          <w:sz w:val="22"/>
        </w:rPr>
        <w:t xml:space="preserve">Les modalités de retour financier vers l’Etat sont précisées dans les Conditions générales et particulières du contrat prévu entre </w:t>
      </w:r>
      <w:proofErr w:type="spellStart"/>
      <w:r>
        <w:rPr>
          <w:sz w:val="22"/>
        </w:rPr>
        <w:t>FranceAgriMer</w:t>
      </w:r>
      <w:proofErr w:type="spellEnd"/>
      <w:r>
        <w:rPr>
          <w:sz w:val="22"/>
        </w:rPr>
        <w:t xml:space="preserve"> et le bénéficiaire des aides. Dans le cas général, ces modalités sont les suivantes :</w:t>
      </w:r>
    </w:p>
    <w:p w:rsidR="0012005A" w:rsidRDefault="00BF238A">
      <w:pPr>
        <w:pStyle w:val="Normal1"/>
        <w:numPr>
          <w:ilvl w:val="0"/>
          <w:numId w:val="8"/>
        </w:numPr>
        <w:jc w:val="both"/>
        <w:rPr>
          <w:sz w:val="22"/>
        </w:rPr>
      </w:pPr>
      <w:r>
        <w:rPr>
          <w:sz w:val="22"/>
        </w:rPr>
        <w:t>avances</w:t>
      </w:r>
      <w:r>
        <w:rPr>
          <w:rFonts w:ascii="Calibri" w:eastAsia="Calibri" w:hAnsi="Calibri" w:cs="Calibri"/>
          <w:sz w:val="22"/>
          <w:szCs w:val="22"/>
          <w:lang w:eastAsia="en-US"/>
        </w:rPr>
        <w:t xml:space="preserve"> </w:t>
      </w:r>
      <w:r>
        <w:rPr>
          <w:rFonts w:eastAsia="Calibri"/>
          <w:sz w:val="22"/>
          <w:szCs w:val="22"/>
          <w:lang w:eastAsia="en-US"/>
        </w:rPr>
        <w:t>récupérables :</w:t>
      </w:r>
      <w:r>
        <w:rPr>
          <w:sz w:val="22"/>
        </w:rPr>
        <w:t xml:space="preserve">  remboursement de 100% de la valeur actualisée nette des avances récupérables versées au premier euro de chiffre d’affaires (élément déclencheur) réalisé sauf échec technique ou commercial avéré. Ce remboursement débute au plus tard deux ans après l’atteinte de l’élément déclencheur et s’effectue en 2 à 4 échéances annuelles, fixes et identiques, au taux d’actualisation fixé par la Commission européenne et applicable à la date d’avis favorable du COPIL ;</w:t>
      </w:r>
    </w:p>
    <w:p w:rsidR="0012005A" w:rsidRDefault="00BF238A">
      <w:pPr>
        <w:pStyle w:val="Paragraphedeliste"/>
        <w:numPr>
          <w:ilvl w:val="0"/>
          <w:numId w:val="9"/>
        </w:numPr>
        <w:jc w:val="both"/>
        <w:rPr>
          <w:sz w:val="22"/>
        </w:rPr>
      </w:pPr>
      <w:r>
        <w:rPr>
          <w:rFonts w:ascii="Arial" w:hAnsi="Arial" w:cs="Arial"/>
          <w:sz w:val="22"/>
          <w:szCs w:val="24"/>
        </w:rPr>
        <w:t xml:space="preserve">versements complémentaires : </w:t>
      </w:r>
      <w:r>
        <w:rPr>
          <w:rFonts w:ascii="Arial" w:eastAsia="Times New Roman" w:hAnsi="Arial" w:cs="Arial"/>
          <w:sz w:val="22"/>
          <w:szCs w:val="24"/>
          <w:lang w:eastAsia="ar-SA"/>
        </w:rPr>
        <w:t>pour les projets ayant bénéficié d’une instruction approfondie, un intéressement au succès du projet est demandé. Il conduit à un intéressement de 50 % de la valeur actualisée nette des avances récupérables. Il est dû dès le franchissement d’un seuil de chiffre d’affaires cumulé déterminant le succès commercial. Ce versement complémentaire débute lorsque le remboursement de l'avance récupérable actualisée a entièrement été effectué et s’effectue en 2 échéances annuelles, fixes et identiques, au taux d’actualisation fixé par la Commission européenne et applicable à la date d’avis favorable du COPIL.</w:t>
      </w:r>
    </w:p>
    <w:p w:rsidR="0012005A" w:rsidRDefault="0012005A">
      <w:pPr>
        <w:pStyle w:val="Normal1"/>
        <w:suppressAutoHyphens w:val="0"/>
        <w:spacing w:after="0"/>
      </w:pPr>
    </w:p>
    <w:p w:rsidR="0012005A" w:rsidRDefault="00BF238A">
      <w:pPr>
        <w:pStyle w:val="Titre1"/>
        <w:numPr>
          <w:ilvl w:val="0"/>
          <w:numId w:val="3"/>
        </w:numPr>
        <w:rPr>
          <w:rFonts w:ascii="Arial" w:hAnsi="Arial" w:cs="Arial"/>
          <w:b w:val="0"/>
          <w:bCs w:val="0"/>
          <w:caps w:val="0"/>
          <w:sz w:val="24"/>
          <w:szCs w:val="24"/>
        </w:rPr>
      </w:pPr>
      <w:bookmarkStart w:id="35" w:name="_Toc429412721"/>
      <w:bookmarkStart w:id="36" w:name="_Toc500319824"/>
      <w:bookmarkStart w:id="37" w:name="_Toc498017364"/>
      <w:bookmarkStart w:id="38" w:name="_Toc499646231"/>
      <w:bookmarkStart w:id="39" w:name="_Toc501609415"/>
      <w:bookmarkEnd w:id="35"/>
      <w:r>
        <w:rPr>
          <w:rFonts w:ascii="Arial" w:hAnsi="Arial" w:cs="Arial"/>
          <w:sz w:val="24"/>
          <w:szCs w:val="24"/>
        </w:rPr>
        <w:lastRenderedPageBreak/>
        <w:t xml:space="preserve">CONFIDENTIALITE </w:t>
      </w:r>
      <w:bookmarkEnd w:id="36"/>
      <w:bookmarkEnd w:id="37"/>
      <w:bookmarkEnd w:id="38"/>
      <w:bookmarkEnd w:id="39"/>
      <w:r>
        <w:rPr>
          <w:rFonts w:ascii="Arial" w:hAnsi="Arial" w:cs="Arial"/>
          <w:sz w:val="24"/>
          <w:szCs w:val="24"/>
        </w:rPr>
        <w:t>ET COMMUNICATION</w:t>
      </w:r>
    </w:p>
    <w:p w:rsidR="0012005A" w:rsidRDefault="00BF238A">
      <w:pPr>
        <w:pStyle w:val="Normal1"/>
        <w:spacing w:before="120" w:after="120"/>
        <w:jc w:val="both"/>
        <w:rPr>
          <w:sz w:val="22"/>
        </w:rPr>
      </w:pPr>
      <w:proofErr w:type="spellStart"/>
      <w:r>
        <w:rPr>
          <w:rFonts w:eastAsia="Arial Unicode MS"/>
          <w:bCs/>
          <w:sz w:val="22"/>
        </w:rPr>
        <w:t>FranceAgriMer</w:t>
      </w:r>
      <w:proofErr w:type="spellEnd"/>
      <w:r>
        <w:rPr>
          <w:rFonts w:eastAsia="Arial Unicode MS"/>
          <w:bCs/>
          <w:sz w:val="22"/>
        </w:rPr>
        <w:t xml:space="preserve"> s’assure que les documents transmis dans le cadre du Concours sont soumis à la plus stricte confidentialité et ne sont communiqués que dans le cadre de l’expertise et de la gouvernance du PIA. L’ensemble des personnes ayant accès aux dossiers de candidatures est tenu à la plus stricte confidentialité</w:t>
      </w:r>
      <w:r>
        <w:rPr>
          <w:bCs/>
          <w:sz w:val="22"/>
        </w:rPr>
        <w:t>.</w:t>
      </w:r>
    </w:p>
    <w:p w:rsidR="0012005A" w:rsidRDefault="00BF238A">
      <w:pPr>
        <w:pStyle w:val="Normal1"/>
        <w:spacing w:before="120" w:after="120"/>
        <w:jc w:val="both"/>
        <w:rPr>
          <w:rFonts w:eastAsia="Arial Unicode MS"/>
          <w:bCs/>
          <w:sz w:val="22"/>
          <w:szCs w:val="28"/>
        </w:rPr>
      </w:pPr>
      <w:r>
        <w:rPr>
          <w:rFonts w:eastAsia="Arial Unicode MS"/>
          <w:bCs/>
          <w:sz w:val="22"/>
        </w:rPr>
        <w:t xml:space="preserve">Une fois le projet sélectionné, les bénéficiaires sont tenus de mentionner le soutien apporté par le Programme d’investissements d’avenir dans leurs actions de communication et la publication de leurs résultats avec la mention unique - « ce projet a été soutenu par le Programme d’investissements d’avenir opéré par </w:t>
      </w:r>
      <w:proofErr w:type="spellStart"/>
      <w:r>
        <w:rPr>
          <w:rFonts w:eastAsia="Arial Unicode MS"/>
          <w:bCs/>
          <w:sz w:val="22"/>
        </w:rPr>
        <w:t>FranceAgriMer</w:t>
      </w:r>
      <w:proofErr w:type="spellEnd"/>
      <w:r>
        <w:rPr>
          <w:rFonts w:eastAsia="Arial Unicode MS"/>
          <w:bCs/>
          <w:sz w:val="22"/>
        </w:rPr>
        <w:t xml:space="preserve"> » - et les logos du PIA et de </w:t>
      </w:r>
      <w:proofErr w:type="spellStart"/>
      <w:r>
        <w:rPr>
          <w:rFonts w:eastAsia="Arial Unicode MS"/>
          <w:bCs/>
          <w:sz w:val="22"/>
        </w:rPr>
        <w:t>FranceAgriMer</w:t>
      </w:r>
      <w:proofErr w:type="spellEnd"/>
      <w:r>
        <w:rPr>
          <w:rFonts w:eastAsia="Arial Unicode MS"/>
          <w:bCs/>
          <w:sz w:val="22"/>
        </w:rPr>
        <w:t>.</w:t>
      </w:r>
    </w:p>
    <w:p w:rsidR="0012005A" w:rsidRDefault="00BF238A">
      <w:pPr>
        <w:pStyle w:val="Normal1"/>
        <w:spacing w:before="120" w:after="120"/>
        <w:jc w:val="both"/>
        <w:rPr>
          <w:rFonts w:eastAsia="Arial Unicode MS"/>
          <w:bCs/>
          <w:sz w:val="22"/>
          <w:szCs w:val="28"/>
        </w:rPr>
      </w:pPr>
      <w:r>
        <w:rPr>
          <w:rFonts w:eastAsia="Arial Unicode MS"/>
          <w:bCs/>
          <w:sz w:val="22"/>
        </w:rPr>
        <w:t xml:space="preserve">Toute opération de communication doit être concertée entre le porteur de projet et </w:t>
      </w:r>
      <w:proofErr w:type="spellStart"/>
      <w:r>
        <w:rPr>
          <w:rFonts w:eastAsia="Arial Unicode MS"/>
          <w:bCs/>
          <w:sz w:val="22"/>
        </w:rPr>
        <w:t>FranceAgriMer</w:t>
      </w:r>
      <w:proofErr w:type="spellEnd"/>
      <w:r>
        <w:rPr>
          <w:rFonts w:eastAsia="Arial Unicode MS"/>
          <w:bCs/>
          <w:sz w:val="22"/>
        </w:rPr>
        <w:t xml:space="preserve">, afin de vérifier notamment le caractère diffusable des informations et la conformité des références au PIA et à </w:t>
      </w:r>
      <w:proofErr w:type="spellStart"/>
      <w:r>
        <w:rPr>
          <w:rFonts w:eastAsia="Arial Unicode MS"/>
          <w:bCs/>
          <w:sz w:val="22"/>
        </w:rPr>
        <w:t>FranceAgriMer</w:t>
      </w:r>
      <w:proofErr w:type="spellEnd"/>
      <w:r>
        <w:rPr>
          <w:rFonts w:eastAsia="Arial Unicode MS"/>
          <w:bCs/>
          <w:sz w:val="22"/>
        </w:rPr>
        <w:t>. L’Etat se réserve le droit de communiquer sur les objectifs généraux du Concours, sur ses enjeux et sur ses résultats, sur la base des informations diffusables.</w:t>
      </w:r>
    </w:p>
    <w:p w:rsidR="0012005A" w:rsidRDefault="00BF238A">
      <w:pPr>
        <w:pStyle w:val="Normal1"/>
        <w:spacing w:before="120" w:after="120"/>
        <w:jc w:val="both"/>
        <w:rPr>
          <w:rFonts w:eastAsia="Arial Unicode MS"/>
          <w:bCs/>
          <w:sz w:val="22"/>
          <w:szCs w:val="28"/>
        </w:rPr>
      </w:pPr>
      <w:r>
        <w:rPr>
          <w:rFonts w:eastAsia="Arial Unicode MS"/>
          <w:bCs/>
          <w:sz w:val="22"/>
        </w:rPr>
        <w:t xml:space="preserve">Le bénéficiaire enverra à </w:t>
      </w:r>
      <w:proofErr w:type="spellStart"/>
      <w:r>
        <w:rPr>
          <w:rFonts w:eastAsia="Arial Unicode MS"/>
          <w:bCs/>
          <w:sz w:val="22"/>
        </w:rPr>
        <w:t>FranceAgriMer</w:t>
      </w:r>
      <w:proofErr w:type="spellEnd"/>
      <w:r>
        <w:rPr>
          <w:rFonts w:eastAsia="Arial Unicode MS"/>
          <w:bCs/>
          <w:sz w:val="22"/>
        </w:rPr>
        <w:t xml:space="preserve"> une fiche de communication relative au projet soutenu, consultable notamment sur le site internet de </w:t>
      </w:r>
      <w:proofErr w:type="spellStart"/>
      <w:r>
        <w:rPr>
          <w:rFonts w:eastAsia="Arial Unicode MS"/>
          <w:bCs/>
          <w:sz w:val="22"/>
        </w:rPr>
        <w:t>FranceAgrimer</w:t>
      </w:r>
      <w:proofErr w:type="spellEnd"/>
      <w:r>
        <w:rPr>
          <w:rFonts w:eastAsia="Arial Unicode MS"/>
          <w:bCs/>
          <w:sz w:val="22"/>
        </w:rPr>
        <w:t>.</w:t>
      </w:r>
    </w:p>
    <w:p w:rsidR="0012005A" w:rsidRDefault="00BF238A">
      <w:pPr>
        <w:pStyle w:val="Normal1"/>
        <w:spacing w:before="120" w:after="120"/>
        <w:jc w:val="both"/>
        <w:rPr>
          <w:rFonts w:eastAsia="Arial Unicode MS"/>
          <w:bCs/>
          <w:sz w:val="22"/>
          <w:szCs w:val="28"/>
        </w:rPr>
      </w:pPr>
      <w:r>
        <w:rPr>
          <w:rFonts w:eastAsia="Arial Unicode MS"/>
          <w:bCs/>
          <w:sz w:val="22"/>
        </w:rPr>
        <w:t xml:space="preserve">Enfin, les bénéficiaires sont tenus à une obligation de transparence et de </w:t>
      </w:r>
      <w:proofErr w:type="spellStart"/>
      <w:r>
        <w:rPr>
          <w:i/>
          <w:sz w:val="22"/>
        </w:rPr>
        <w:t>reporting</w:t>
      </w:r>
      <w:proofErr w:type="spellEnd"/>
      <w:r>
        <w:rPr>
          <w:rFonts w:eastAsia="Arial Unicode MS"/>
          <w:bCs/>
          <w:sz w:val="22"/>
        </w:rPr>
        <w:t xml:space="preserve"> vis-à-vis de </w:t>
      </w:r>
      <w:proofErr w:type="spellStart"/>
      <w:r>
        <w:rPr>
          <w:rFonts w:eastAsia="Arial Unicode MS"/>
          <w:bCs/>
          <w:sz w:val="22"/>
        </w:rPr>
        <w:t>FranceAgriMer</w:t>
      </w:r>
      <w:proofErr w:type="spellEnd"/>
      <w:r>
        <w:rPr>
          <w:rFonts w:eastAsia="Arial Unicode MS"/>
          <w:bCs/>
          <w:sz w:val="22"/>
        </w:rPr>
        <w:t xml:space="preserve">, nécessaire à l’évaluation </w:t>
      </w:r>
      <w:r>
        <w:rPr>
          <w:i/>
          <w:sz w:val="22"/>
        </w:rPr>
        <w:t>ex-post</w:t>
      </w:r>
      <w:r>
        <w:rPr>
          <w:rFonts w:eastAsia="Arial Unicode MS"/>
          <w:bCs/>
          <w:sz w:val="22"/>
        </w:rPr>
        <w:t xml:space="preserve"> des projets ou du Concours.</w:t>
      </w:r>
    </w:p>
    <w:p w:rsidR="0012005A" w:rsidRDefault="0012005A">
      <w:pPr>
        <w:pStyle w:val="Normal1"/>
        <w:jc w:val="both"/>
        <w:rPr>
          <w:rFonts w:eastAsia="Arial Unicode MS"/>
          <w:bCs/>
          <w:u w:val="single"/>
        </w:rPr>
      </w:pPr>
    </w:p>
    <w:p w:rsidR="0012005A" w:rsidRDefault="00BF238A">
      <w:pPr>
        <w:pStyle w:val="Titre1"/>
        <w:numPr>
          <w:ilvl w:val="0"/>
          <w:numId w:val="3"/>
        </w:numPr>
        <w:rPr>
          <w:rFonts w:ascii="Arial" w:hAnsi="Arial" w:cs="Arial"/>
          <w:b w:val="0"/>
          <w:bCs w:val="0"/>
          <w:caps w:val="0"/>
          <w:sz w:val="24"/>
          <w:szCs w:val="24"/>
        </w:rPr>
      </w:pPr>
      <w:bookmarkStart w:id="40" w:name="_Toc500319825"/>
      <w:bookmarkStart w:id="41" w:name="_Toc498017365"/>
      <w:bookmarkStart w:id="42" w:name="__RefHeading__12843_1298835588"/>
      <w:bookmarkStart w:id="43" w:name="_Toc429412722"/>
      <w:bookmarkStart w:id="44" w:name="_Toc499646232"/>
      <w:bookmarkStart w:id="45" w:name="_Toc501609416"/>
      <w:bookmarkEnd w:id="40"/>
      <w:bookmarkEnd w:id="41"/>
      <w:bookmarkEnd w:id="42"/>
      <w:bookmarkEnd w:id="43"/>
      <w:bookmarkEnd w:id="44"/>
      <w:bookmarkEnd w:id="45"/>
      <w:r>
        <w:rPr>
          <w:rFonts w:ascii="Arial" w:hAnsi="Arial" w:cs="Arial"/>
          <w:sz w:val="24"/>
          <w:szCs w:val="24"/>
        </w:rPr>
        <w:lastRenderedPageBreak/>
        <w:t>SOUMISSION DES PROJETS</w:t>
      </w:r>
    </w:p>
    <w:p w:rsidR="0012005A" w:rsidRDefault="00BF238A">
      <w:pPr>
        <w:pStyle w:val="Normal1"/>
        <w:spacing w:before="240" w:after="120"/>
        <w:rPr>
          <w:b/>
          <w:sz w:val="22"/>
        </w:rPr>
      </w:pPr>
      <w:r>
        <w:rPr>
          <w:b/>
          <w:sz w:val="22"/>
        </w:rPr>
        <w:t>Dossier de candidature</w:t>
      </w:r>
    </w:p>
    <w:p w:rsidR="0012005A" w:rsidRDefault="00BF238A">
      <w:pPr>
        <w:pStyle w:val="Normal1"/>
        <w:spacing w:before="120" w:after="120"/>
        <w:jc w:val="both"/>
        <w:rPr>
          <w:sz w:val="22"/>
        </w:rPr>
      </w:pPr>
      <w:r>
        <w:rPr>
          <w:sz w:val="22"/>
        </w:rPr>
        <w:t xml:space="preserve">L’ensemble des modèles de document et le dossier de candidature sont à télécharger sur le site de </w:t>
      </w:r>
      <w:proofErr w:type="spellStart"/>
      <w:r>
        <w:rPr>
          <w:sz w:val="22"/>
        </w:rPr>
        <w:t>FranceAgriMer</w:t>
      </w:r>
      <w:proofErr w:type="spellEnd"/>
      <w:r>
        <w:rPr>
          <w:sz w:val="22"/>
        </w:rPr>
        <w:t>.</w:t>
      </w:r>
    </w:p>
    <w:p w:rsidR="0012005A" w:rsidRDefault="00BF238A">
      <w:pPr>
        <w:pStyle w:val="Normal1"/>
        <w:spacing w:before="120" w:after="120"/>
        <w:jc w:val="both"/>
        <w:rPr>
          <w:sz w:val="22"/>
        </w:rPr>
      </w:pPr>
      <w:r>
        <w:rPr>
          <w:sz w:val="22"/>
        </w:rPr>
        <w:t>Le dossier de candidature est composé des éléments suivants :</w:t>
      </w:r>
    </w:p>
    <w:p w:rsidR="0012005A" w:rsidRDefault="00BF238A">
      <w:pPr>
        <w:pStyle w:val="Paragraphedeliste"/>
        <w:spacing w:before="120" w:after="120"/>
        <w:ind w:left="425"/>
        <w:jc w:val="both"/>
        <w:rPr>
          <w:sz w:val="22"/>
        </w:rPr>
      </w:pPr>
      <w:r>
        <w:rPr>
          <w:rFonts w:ascii="Arial" w:hAnsi="Arial" w:cs="Arial"/>
          <w:b/>
          <w:sz w:val="22"/>
          <w:szCs w:val="24"/>
        </w:rPr>
        <w:t>ANNEXE 1 : Un document au format Word comprenant :</w:t>
      </w:r>
    </w:p>
    <w:p w:rsidR="0012005A" w:rsidRDefault="00BF238A">
      <w:pPr>
        <w:pStyle w:val="Paragraphedeliste"/>
        <w:keepNext/>
        <w:numPr>
          <w:ilvl w:val="0"/>
          <w:numId w:val="2"/>
        </w:numPr>
        <w:spacing w:before="120"/>
        <w:ind w:left="714" w:hanging="357"/>
        <w:jc w:val="both"/>
      </w:pPr>
      <w:r>
        <w:rPr>
          <w:rFonts w:ascii="Arial" w:hAnsi="Arial" w:cs="Arial"/>
          <w:sz w:val="22"/>
          <w:szCs w:val="24"/>
        </w:rPr>
        <w:t>la présentation de l’entreprise (Partie 1 sur 10 pages maximum, 5 pages maximum pour les projets présentant un coût total inférieur à 800 K€) ;</w:t>
      </w:r>
    </w:p>
    <w:p w:rsidR="0012005A" w:rsidRDefault="00BF238A">
      <w:pPr>
        <w:pStyle w:val="Paragraphedeliste"/>
        <w:keepNext/>
        <w:numPr>
          <w:ilvl w:val="0"/>
          <w:numId w:val="2"/>
        </w:numPr>
        <w:spacing w:before="120"/>
        <w:ind w:left="714" w:hanging="357"/>
        <w:jc w:val="both"/>
      </w:pPr>
      <w:r>
        <w:rPr>
          <w:rFonts w:ascii="Arial" w:hAnsi="Arial" w:cs="Arial"/>
          <w:sz w:val="22"/>
          <w:szCs w:val="24"/>
        </w:rPr>
        <w:t>la présentation du projet (Partie 2 sur 20 pages maximum, 10 pages maximum pour les projets présentant un coût total inférieur  à 800k€) ;</w:t>
      </w:r>
    </w:p>
    <w:p w:rsidR="0012005A" w:rsidRDefault="00BF238A">
      <w:pPr>
        <w:pStyle w:val="Paragraphedeliste"/>
        <w:keepNext/>
        <w:numPr>
          <w:ilvl w:val="0"/>
          <w:numId w:val="2"/>
        </w:numPr>
        <w:spacing w:before="120"/>
        <w:ind w:left="714" w:hanging="357"/>
        <w:jc w:val="both"/>
        <w:rPr>
          <w:rFonts w:ascii="Liberation Serif" w:hAnsi="Liberation Serif"/>
          <w:sz w:val="22"/>
        </w:rPr>
      </w:pPr>
      <w:r>
        <w:rPr>
          <w:rFonts w:ascii="Arial" w:hAnsi="Arial" w:cs="Arial"/>
          <w:sz w:val="22"/>
          <w:szCs w:val="24"/>
        </w:rPr>
        <w:t>pour les projets présentant un coût total supérieur ou égal à 800 k€ : la description détaillée des tâches (une fiche par tâche).</w:t>
      </w:r>
    </w:p>
    <w:p w:rsidR="0012005A" w:rsidRDefault="00BF238A">
      <w:pPr>
        <w:pStyle w:val="Paragraphedeliste"/>
        <w:spacing w:before="120" w:after="120"/>
        <w:ind w:left="426"/>
        <w:jc w:val="both"/>
        <w:rPr>
          <w:rFonts w:ascii="Arial" w:hAnsi="Arial" w:cs="Arial"/>
          <w:b/>
          <w:sz w:val="22"/>
        </w:rPr>
      </w:pPr>
      <w:r>
        <w:rPr>
          <w:rFonts w:ascii="Arial" w:hAnsi="Arial" w:cs="Arial"/>
          <w:b/>
          <w:sz w:val="22"/>
          <w:szCs w:val="24"/>
        </w:rPr>
        <w:t>ANNEXE 2 : Un tableur au format Excel comprenant un ensemble de données financières concernant le projet et l’entreprise.</w:t>
      </w:r>
    </w:p>
    <w:p w:rsidR="0012005A" w:rsidRDefault="00BF238A">
      <w:pPr>
        <w:pStyle w:val="Paragraphedeliste"/>
        <w:spacing w:before="120" w:after="120"/>
        <w:ind w:left="426"/>
        <w:jc w:val="both"/>
        <w:rPr>
          <w:rFonts w:ascii="Arial" w:hAnsi="Arial" w:cs="Arial"/>
          <w:b/>
          <w:sz w:val="22"/>
        </w:rPr>
      </w:pPr>
      <w:r>
        <w:rPr>
          <w:rFonts w:ascii="Arial" w:hAnsi="Arial" w:cs="Arial"/>
          <w:b/>
          <w:sz w:val="22"/>
          <w:szCs w:val="24"/>
        </w:rPr>
        <w:t>ANNEXE 3 : Une présentation du projet sous forme de diapositives (format libre, 20 diapositives maximum)</w:t>
      </w:r>
    </w:p>
    <w:p w:rsidR="0012005A" w:rsidRDefault="00BF238A">
      <w:pPr>
        <w:pStyle w:val="Paragraphedeliste"/>
        <w:spacing w:before="120" w:after="120"/>
        <w:ind w:left="426"/>
        <w:jc w:val="both"/>
        <w:rPr>
          <w:sz w:val="22"/>
        </w:rPr>
      </w:pPr>
      <w:r>
        <w:rPr>
          <w:rFonts w:ascii="Arial" w:hAnsi="Arial" w:cs="Arial"/>
          <w:b/>
          <w:sz w:val="22"/>
          <w:szCs w:val="24"/>
        </w:rPr>
        <w:t>Un ensemble de documents administratifs détaillés dans le dossier de candidature.</w:t>
      </w:r>
    </w:p>
    <w:p w:rsidR="0012005A" w:rsidRDefault="00BF238A">
      <w:pPr>
        <w:pStyle w:val="Normal1"/>
        <w:spacing w:before="120" w:after="120"/>
        <w:jc w:val="both"/>
        <w:rPr>
          <w:sz w:val="22"/>
        </w:rPr>
      </w:pPr>
      <w:r>
        <w:rPr>
          <w:sz w:val="22"/>
        </w:rPr>
        <w:t>Une attention particulière doit être apportée à la qualité de rédaction du dossier et à sa clarté. Le dossier de candidature doit comporter suffisamment de détails et de justifications pour permettre d’évaluer les aspects techniques et scientifiques, ainsi que les perspectives industrielles et commerciales.</w:t>
      </w:r>
    </w:p>
    <w:p w:rsidR="0012005A" w:rsidRDefault="00BF238A">
      <w:pPr>
        <w:pStyle w:val="Normal1"/>
        <w:spacing w:before="240" w:after="120"/>
        <w:rPr>
          <w:b/>
          <w:sz w:val="22"/>
        </w:rPr>
      </w:pPr>
      <w:r>
        <w:rPr>
          <w:b/>
          <w:sz w:val="22"/>
        </w:rPr>
        <w:t>Dépôt des projets</w:t>
      </w:r>
    </w:p>
    <w:p w:rsidR="0012005A" w:rsidRDefault="00BF238A">
      <w:pPr>
        <w:pStyle w:val="Paragraphedeliste"/>
        <w:spacing w:before="120" w:after="120"/>
        <w:ind w:left="0"/>
        <w:jc w:val="both"/>
        <w:rPr>
          <w:sz w:val="22"/>
        </w:rPr>
      </w:pPr>
      <w:r>
        <w:rPr>
          <w:rFonts w:ascii="Arial" w:eastAsia="SimSun" w:hAnsi="Arial" w:cs="Arial"/>
          <w:sz w:val="22"/>
          <w:szCs w:val="24"/>
          <w:lang w:eastAsia="ar-SA"/>
        </w:rPr>
        <w:t xml:space="preserve">Les projets sont à adresser uniquement sous forme électronique via la plateforme de dépôt de </w:t>
      </w:r>
      <w:proofErr w:type="spellStart"/>
      <w:r>
        <w:rPr>
          <w:rFonts w:ascii="Arial" w:eastAsia="SimSun" w:hAnsi="Arial" w:cs="Arial"/>
          <w:sz w:val="22"/>
          <w:szCs w:val="24"/>
          <w:lang w:eastAsia="ar-SA"/>
        </w:rPr>
        <w:t>FranceAgriMer</w:t>
      </w:r>
      <w:proofErr w:type="spellEnd"/>
      <w:r>
        <w:rPr>
          <w:rFonts w:ascii="Arial" w:eastAsia="SimSun" w:hAnsi="Arial" w:cs="Arial"/>
          <w:sz w:val="22"/>
          <w:szCs w:val="24"/>
          <w:lang w:eastAsia="ar-SA"/>
        </w:rPr>
        <w:t xml:space="preserve"> jusqu'à la date de clôture à savoir le 13 mars 2018 à 12h00 (midi)</w:t>
      </w:r>
      <w:r>
        <w:rPr>
          <w:sz w:val="22"/>
          <w:lang w:eastAsia="fr-FR"/>
        </w:rPr>
        <w:t xml:space="preserve"> :</w:t>
      </w:r>
    </w:p>
    <w:p w:rsidR="00CC7D7F" w:rsidRDefault="00074889">
      <w:pPr>
        <w:pStyle w:val="Normal1"/>
        <w:spacing w:before="120" w:after="0"/>
        <w:rPr>
          <w:rStyle w:val="Lienhypertexte"/>
          <w:rFonts w:ascii="Times New Roman" w:hAnsi="Times New Roman" w:cs="Times New Roman"/>
          <w:sz w:val="22"/>
        </w:rPr>
      </w:pPr>
      <w:hyperlink r:id="rId10" w:history="1">
        <w:r w:rsidR="00CC7D7F" w:rsidRPr="00CC7D7F">
          <w:rPr>
            <w:rStyle w:val="Lienhypertexte"/>
            <w:rFonts w:cs="Times New Roman"/>
            <w:sz w:val="22"/>
          </w:rPr>
          <w:t>https://portailweb.franceagrimer.fr/</w:t>
        </w:r>
      </w:hyperlink>
    </w:p>
    <w:p w:rsidR="00CC7D7F" w:rsidRDefault="00BF238A">
      <w:pPr>
        <w:pStyle w:val="Normal1"/>
        <w:spacing w:before="120" w:after="0"/>
        <w:rPr>
          <w:sz w:val="22"/>
        </w:rPr>
      </w:pPr>
      <w:proofErr w:type="spellStart"/>
      <w:r>
        <w:rPr>
          <w:sz w:val="22"/>
        </w:rPr>
        <w:t>FranceAgriMer</w:t>
      </w:r>
      <w:proofErr w:type="spellEnd"/>
      <w:r>
        <w:rPr>
          <w:sz w:val="22"/>
        </w:rPr>
        <w:t xml:space="preserve"> est à la disposition des porteurs de projets pour toute question en amont de la soumission à l’adresse mail</w:t>
      </w:r>
      <w:r w:rsidR="00CC7D7F">
        <w:rPr>
          <w:sz w:val="22"/>
        </w:rPr>
        <w:t xml:space="preserve"> : </w:t>
      </w:r>
    </w:p>
    <w:p w:rsidR="0012005A" w:rsidRDefault="00074889">
      <w:pPr>
        <w:pStyle w:val="Normal1"/>
        <w:spacing w:before="120" w:after="0"/>
      </w:pPr>
      <w:hyperlink r:id="rId11" w:history="1">
        <w:r w:rsidR="00BF238A" w:rsidRPr="007B3E02">
          <w:rPr>
            <w:rStyle w:val="Lienhypertexte"/>
            <w:rFonts w:cs="Times New Roman"/>
            <w:sz w:val="22"/>
          </w:rPr>
          <w:t>alimentation.intelligente@franceagrimer.fr</w:t>
        </w:r>
      </w:hyperlink>
    </w:p>
    <w:p w:rsidR="0012005A" w:rsidRDefault="00BF238A">
      <w:pPr>
        <w:pStyle w:val="Normal1"/>
        <w:spacing w:before="120" w:after="120"/>
        <w:jc w:val="both"/>
        <w:rPr>
          <w:sz w:val="22"/>
        </w:rPr>
      </w:pPr>
      <w:r>
        <w:rPr>
          <w:sz w:val="22"/>
        </w:rPr>
        <w:t>Les dossiers arrivés après la date de clôture du Concours ainsi que les dossiers incomplets ne sont pas recevables.</w:t>
      </w:r>
    </w:p>
    <w:p w:rsidR="0012005A" w:rsidRDefault="00BF238A">
      <w:pPr>
        <w:pStyle w:val="Titre1"/>
        <w:rPr>
          <w:rFonts w:ascii="Arial" w:eastAsia="SimSun" w:hAnsi="Arial" w:cs="Arial"/>
          <w:sz w:val="32"/>
          <w:szCs w:val="28"/>
          <w:lang w:eastAsia="ar-SA" w:bidi="hi-IN"/>
        </w:rPr>
      </w:pPr>
      <w:bookmarkStart w:id="46" w:name="_Toc501609417"/>
      <w:r>
        <w:rPr>
          <w:rFonts w:ascii="Arial" w:eastAsia="SimSun" w:hAnsi="Arial" w:cs="Arial"/>
          <w:sz w:val="32"/>
          <w:szCs w:val="28"/>
          <w:lang w:eastAsia="ar-SA" w:bidi="hi-IN"/>
        </w:rPr>
        <w:lastRenderedPageBreak/>
        <w:t>Annexe : fiche « Alimentation intelligente »</w:t>
      </w:r>
      <w:bookmarkEnd w:id="46"/>
      <w:r>
        <w:rPr>
          <w:rFonts w:ascii="Arial" w:eastAsia="SimSun" w:hAnsi="Arial" w:cs="Arial"/>
          <w:sz w:val="32"/>
          <w:szCs w:val="28"/>
          <w:lang w:eastAsia="ar-SA" w:bidi="hi-IN"/>
        </w:rPr>
        <w:t xml:space="preserve"> </w:t>
      </w:r>
    </w:p>
    <w:p w:rsidR="0012005A" w:rsidRDefault="00BF238A">
      <w:pPr>
        <w:spacing w:after="200" w:line="360"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Des tendances de fond (évolutions technologiques, évolutions des attentes sociétales du consommateur…) transforment aujourd’hui le secteur agroalimentaire en profondeur :</w:t>
      </w:r>
    </w:p>
    <w:p w:rsidR="0012005A" w:rsidRDefault="00BF238A">
      <w:pPr>
        <w:numPr>
          <w:ilvl w:val="0"/>
          <w:numId w:val="13"/>
        </w:numPr>
        <w:spacing w:after="200" w:line="276"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La sophistication des modes de consommation et la recherche d’une alimentation favorable à la santé ;</w:t>
      </w:r>
    </w:p>
    <w:p w:rsidR="0012005A" w:rsidRDefault="00BF238A">
      <w:pPr>
        <w:numPr>
          <w:ilvl w:val="0"/>
          <w:numId w:val="13"/>
        </w:numPr>
        <w:spacing w:after="200" w:line="276"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La segmentation des marchés et le développement des classes moyennes à l’international ;</w:t>
      </w:r>
    </w:p>
    <w:p w:rsidR="0012005A" w:rsidRDefault="00BF238A">
      <w:pPr>
        <w:numPr>
          <w:ilvl w:val="0"/>
          <w:numId w:val="13"/>
        </w:numPr>
        <w:spacing w:after="200" w:line="276"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La sécurité alimentaire et les enjeux de traçabilité et de transparence vis-à-vis du consommateur ;</w:t>
      </w:r>
    </w:p>
    <w:p w:rsidR="0012005A" w:rsidRDefault="00BF238A">
      <w:pPr>
        <w:numPr>
          <w:ilvl w:val="0"/>
          <w:numId w:val="13"/>
        </w:numPr>
        <w:spacing w:after="200" w:line="276"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Les attentes des consommateurs et des citoyens en matière de responsabilité sociétale (réduction de l’impact environnemental, conditions de travail, bien-être animal, rémunération équitable des producteurs …) ;</w:t>
      </w:r>
    </w:p>
    <w:p w:rsidR="0012005A" w:rsidRDefault="00BF238A">
      <w:pPr>
        <w:numPr>
          <w:ilvl w:val="0"/>
          <w:numId w:val="13"/>
        </w:numPr>
        <w:spacing w:after="200" w:line="276"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Le numérique qui révolutionne le lien avec le consommateur et offre de nouvelles opportunités industrielles ;</w:t>
      </w:r>
    </w:p>
    <w:p w:rsidR="0012005A" w:rsidRDefault="00BF238A">
      <w:pPr>
        <w:numPr>
          <w:ilvl w:val="0"/>
          <w:numId w:val="13"/>
        </w:numPr>
        <w:spacing w:after="200"/>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Le défi pour les filières agroalimentaires d’être plus résilientes face aux aléas sur des marchés agricoles et agroalimentaires beaucoup plus ouverts qu’ils ne l’étaient par le passé.</w:t>
      </w:r>
    </w:p>
    <w:p w:rsidR="0012005A" w:rsidRDefault="0012005A">
      <w:pPr>
        <w:spacing w:after="200"/>
        <w:ind w:left="360"/>
        <w:contextualSpacing/>
        <w:jc w:val="both"/>
        <w:rPr>
          <w:rFonts w:ascii="Arial" w:eastAsia="SimSun" w:hAnsi="Arial" w:cs="Arial"/>
          <w:color w:val="000000"/>
          <w:sz w:val="22"/>
          <w:szCs w:val="24"/>
          <w:lang w:eastAsia="ar-SA" w:bidi="hi-IN"/>
        </w:rPr>
      </w:pPr>
    </w:p>
    <w:p w:rsidR="0012005A" w:rsidRDefault="00BF238A">
      <w:pPr>
        <w:spacing w:after="200" w:line="276"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 xml:space="preserve">Répondre à ces enjeux nécessite de développer de nouvelles solutions technologiques (nouveaux produits, nouveaux équipements, nouvelles solutions numériques...) et non technologiques (nouvelles organisations) pour gagner en compétitivité coût et </w:t>
      </w:r>
      <w:proofErr w:type="spellStart"/>
      <w:r>
        <w:rPr>
          <w:rFonts w:ascii="Arial" w:eastAsia="SimSun" w:hAnsi="Arial" w:cs="Arial"/>
          <w:color w:val="000000"/>
          <w:sz w:val="22"/>
          <w:szCs w:val="24"/>
          <w:lang w:eastAsia="ar-SA" w:bidi="hi-IN"/>
        </w:rPr>
        <w:t>hors-coût</w:t>
      </w:r>
      <w:proofErr w:type="spellEnd"/>
      <w:r>
        <w:rPr>
          <w:rFonts w:ascii="Arial" w:eastAsia="SimSun" w:hAnsi="Arial" w:cs="Arial"/>
          <w:color w:val="000000"/>
          <w:sz w:val="22"/>
          <w:szCs w:val="24"/>
          <w:lang w:eastAsia="ar-SA" w:bidi="hi-IN"/>
        </w:rPr>
        <w:t>, allier performance économique, environnementale et sociale au sein de l’entreprise et faire évoluer l’offre produit pour reconquérir des parts de marché en France, en Europe et dans le monde pour ainsi accroître la création de valeur dans les territoires.</w:t>
      </w:r>
    </w:p>
    <w:p w:rsidR="0012005A" w:rsidRDefault="0012005A">
      <w:pPr>
        <w:spacing w:after="200" w:line="276" w:lineRule="auto"/>
        <w:contextualSpacing/>
        <w:jc w:val="both"/>
        <w:rPr>
          <w:rFonts w:ascii="Arial" w:eastAsia="SimSun" w:hAnsi="Arial" w:cs="Arial"/>
          <w:color w:val="000000"/>
          <w:sz w:val="22"/>
          <w:szCs w:val="24"/>
          <w:lang w:eastAsia="ar-SA" w:bidi="hi-IN"/>
        </w:rPr>
      </w:pPr>
    </w:p>
    <w:p w:rsidR="0012005A" w:rsidRDefault="00BF238A">
      <w:pPr>
        <w:spacing w:after="200" w:line="276" w:lineRule="auto"/>
        <w:contextualSpacing/>
        <w:jc w:val="both"/>
        <w:rPr>
          <w:rFonts w:ascii="Arial" w:eastAsia="SimSun" w:hAnsi="Arial" w:cs="Arial"/>
          <w:color w:val="000000"/>
          <w:sz w:val="22"/>
          <w:szCs w:val="24"/>
          <w:lang w:eastAsia="ar-SA" w:bidi="hi-IN"/>
        </w:rPr>
      </w:pPr>
      <w:r>
        <w:rPr>
          <w:rFonts w:ascii="Arial" w:eastAsia="SimSun" w:hAnsi="Arial" w:cs="Arial"/>
          <w:color w:val="000000"/>
          <w:sz w:val="22"/>
          <w:szCs w:val="24"/>
          <w:lang w:eastAsia="ar-SA" w:bidi="hi-IN"/>
        </w:rPr>
        <w:t>Le Concours d’innovation « alimentation intelligente » vise à soutenir des projets dont l’objectif est la création de nouveaux produits et ingrédients alimentaires et services associés répondant notamment aux axes suivants :</w:t>
      </w:r>
    </w:p>
    <w:p w:rsidR="0012005A" w:rsidRDefault="00BF238A">
      <w:pPr>
        <w:pStyle w:val="Paragraphedeliste"/>
        <w:numPr>
          <w:ilvl w:val="0"/>
          <w:numId w:val="13"/>
        </w:numPr>
        <w:spacing w:after="200" w:line="276" w:lineRule="auto"/>
        <w:contextualSpacing/>
        <w:jc w:val="both"/>
        <w:rPr>
          <w:rFonts w:ascii="Arial" w:eastAsia="SimSun" w:hAnsi="Arial" w:cs="Arial"/>
          <w:sz w:val="22"/>
          <w:szCs w:val="24"/>
          <w:lang w:eastAsia="ar-SA"/>
        </w:rPr>
      </w:pPr>
      <w:proofErr w:type="spellStart"/>
      <w:r>
        <w:rPr>
          <w:rFonts w:ascii="Arial" w:eastAsia="SimSun" w:hAnsi="Arial" w:cs="Arial"/>
          <w:sz w:val="22"/>
          <w:szCs w:val="24"/>
          <w:lang w:eastAsia="ar-SA"/>
        </w:rPr>
        <w:t>prébiotiques</w:t>
      </w:r>
      <w:proofErr w:type="spellEnd"/>
      <w:r>
        <w:rPr>
          <w:rFonts w:ascii="Arial" w:eastAsia="SimSun" w:hAnsi="Arial" w:cs="Arial"/>
          <w:sz w:val="22"/>
          <w:szCs w:val="24"/>
          <w:lang w:eastAsia="ar-SA"/>
        </w:rPr>
        <w:t>, probiotiques, aliments fermentés, aliments riches en protéines utilisant de nouvelles technologies d’extraction, de nouvelles formulations et de nouvelles ressources (végétales, animales, algues, insectes…) ;</w:t>
      </w:r>
    </w:p>
    <w:p w:rsidR="0012005A" w:rsidRDefault="00BF238A">
      <w:pPr>
        <w:pStyle w:val="Paragraphedeliste"/>
        <w:numPr>
          <w:ilvl w:val="0"/>
          <w:numId w:val="13"/>
        </w:numPr>
        <w:spacing w:after="200" w:line="276" w:lineRule="auto"/>
        <w:contextualSpacing/>
        <w:jc w:val="both"/>
        <w:rPr>
          <w:rFonts w:ascii="Arial" w:eastAsia="SimSun" w:hAnsi="Arial" w:cs="Arial"/>
          <w:sz w:val="22"/>
          <w:szCs w:val="24"/>
          <w:lang w:eastAsia="ar-SA"/>
        </w:rPr>
      </w:pPr>
      <w:r>
        <w:rPr>
          <w:rFonts w:ascii="Arial" w:eastAsia="SimSun" w:hAnsi="Arial" w:cs="Arial"/>
          <w:sz w:val="22"/>
          <w:szCs w:val="24"/>
          <w:lang w:eastAsia="ar-SA"/>
        </w:rPr>
        <w:t xml:space="preserve">solutions de contrôle en ligne pour limiter les risques physiques, chimiques et microbiologiques, réduire les pertes et renforcer la confiance du consommateur; dont le </w:t>
      </w:r>
      <w:proofErr w:type="spellStart"/>
      <w:r>
        <w:rPr>
          <w:rFonts w:ascii="Arial" w:eastAsia="SimSun" w:hAnsi="Arial" w:cs="Arial"/>
          <w:sz w:val="22"/>
          <w:szCs w:val="24"/>
          <w:lang w:eastAsia="ar-SA"/>
        </w:rPr>
        <w:t>Big</w:t>
      </w:r>
      <w:proofErr w:type="spellEnd"/>
      <w:r>
        <w:rPr>
          <w:rFonts w:ascii="Arial" w:eastAsia="SimSun" w:hAnsi="Arial" w:cs="Arial"/>
          <w:sz w:val="22"/>
          <w:szCs w:val="24"/>
          <w:lang w:eastAsia="ar-SA"/>
        </w:rPr>
        <w:t xml:space="preserve"> data et les outils d’aide à la décision,</w:t>
      </w:r>
    </w:p>
    <w:p w:rsidR="0012005A" w:rsidRDefault="00BF238A">
      <w:pPr>
        <w:pStyle w:val="Paragraphedeliste"/>
        <w:numPr>
          <w:ilvl w:val="0"/>
          <w:numId w:val="13"/>
        </w:numPr>
        <w:spacing w:after="200" w:line="276" w:lineRule="auto"/>
        <w:contextualSpacing/>
        <w:jc w:val="both"/>
        <w:rPr>
          <w:rFonts w:ascii="Arial" w:eastAsia="SimSun" w:hAnsi="Arial" w:cs="Arial"/>
          <w:sz w:val="22"/>
          <w:szCs w:val="24"/>
          <w:lang w:eastAsia="ar-SA"/>
        </w:rPr>
      </w:pPr>
      <w:r>
        <w:rPr>
          <w:rFonts w:ascii="Arial" w:eastAsia="SimSun" w:hAnsi="Arial" w:cs="Arial"/>
          <w:sz w:val="22"/>
          <w:szCs w:val="24"/>
          <w:lang w:eastAsia="ar-SA"/>
        </w:rPr>
        <w:t xml:space="preserve">solutions numériques pour la production, la sécurité, la traçabilité et la commercialisation en lien avec la </w:t>
      </w:r>
      <w:proofErr w:type="spellStart"/>
      <w:r>
        <w:rPr>
          <w:rFonts w:ascii="Arial" w:eastAsia="SimSun" w:hAnsi="Arial" w:cs="Arial"/>
          <w:sz w:val="22"/>
          <w:szCs w:val="24"/>
          <w:lang w:eastAsia="ar-SA"/>
        </w:rPr>
        <w:t>Foodtech</w:t>
      </w:r>
      <w:proofErr w:type="spellEnd"/>
      <w:r>
        <w:rPr>
          <w:rFonts w:ascii="Arial" w:eastAsia="SimSun" w:hAnsi="Arial" w:cs="Arial"/>
          <w:sz w:val="22"/>
          <w:szCs w:val="24"/>
          <w:lang w:eastAsia="ar-SA"/>
        </w:rPr>
        <w:t xml:space="preserve">; dont le partage et l’interopérabilité des données dans la </w:t>
      </w:r>
      <w:proofErr w:type="spellStart"/>
      <w:r>
        <w:rPr>
          <w:rFonts w:ascii="Arial" w:eastAsia="SimSun" w:hAnsi="Arial" w:cs="Arial"/>
          <w:sz w:val="22"/>
          <w:szCs w:val="24"/>
          <w:lang w:eastAsia="ar-SA"/>
        </w:rPr>
        <w:t>supply</w:t>
      </w:r>
      <w:proofErr w:type="spellEnd"/>
      <w:r>
        <w:rPr>
          <w:rFonts w:ascii="Arial" w:eastAsia="SimSun" w:hAnsi="Arial" w:cs="Arial"/>
          <w:sz w:val="22"/>
          <w:szCs w:val="24"/>
          <w:lang w:eastAsia="ar-SA"/>
        </w:rPr>
        <w:t xml:space="preserve"> </w:t>
      </w:r>
      <w:proofErr w:type="spellStart"/>
      <w:r>
        <w:rPr>
          <w:rFonts w:ascii="Arial" w:eastAsia="SimSun" w:hAnsi="Arial" w:cs="Arial"/>
          <w:sz w:val="22"/>
          <w:szCs w:val="24"/>
          <w:lang w:eastAsia="ar-SA"/>
        </w:rPr>
        <w:t>chain</w:t>
      </w:r>
      <w:proofErr w:type="spellEnd"/>
      <w:r>
        <w:rPr>
          <w:rFonts w:ascii="Arial" w:eastAsia="SimSun" w:hAnsi="Arial" w:cs="Arial"/>
          <w:sz w:val="22"/>
          <w:szCs w:val="24"/>
          <w:lang w:eastAsia="ar-SA"/>
        </w:rPr>
        <w:t>,</w:t>
      </w:r>
    </w:p>
    <w:p w:rsidR="0012005A" w:rsidRDefault="00BF238A">
      <w:pPr>
        <w:pStyle w:val="Paragraphedeliste"/>
        <w:numPr>
          <w:ilvl w:val="0"/>
          <w:numId w:val="13"/>
        </w:numPr>
        <w:spacing w:after="200" w:line="276" w:lineRule="auto"/>
        <w:contextualSpacing/>
        <w:jc w:val="both"/>
        <w:rPr>
          <w:rFonts w:ascii="Arial" w:eastAsia="SimSun" w:hAnsi="Arial" w:cs="Arial"/>
          <w:sz w:val="22"/>
          <w:szCs w:val="24"/>
          <w:lang w:eastAsia="ar-SA"/>
        </w:rPr>
      </w:pPr>
      <w:r>
        <w:rPr>
          <w:rFonts w:ascii="Arial" w:eastAsia="SimSun" w:hAnsi="Arial" w:cs="Arial"/>
          <w:sz w:val="22"/>
          <w:szCs w:val="24"/>
          <w:lang w:eastAsia="ar-SA"/>
        </w:rPr>
        <w:t>emballages plus performants (nouveaux matériaux, emballages actifs et/ou intelligents…)…</w:t>
      </w:r>
    </w:p>
    <w:p w:rsidR="0012005A" w:rsidRDefault="00BF238A">
      <w:pPr>
        <w:pStyle w:val="Paragraphedeliste"/>
        <w:numPr>
          <w:ilvl w:val="0"/>
          <w:numId w:val="13"/>
        </w:numPr>
        <w:spacing w:after="200" w:line="276" w:lineRule="auto"/>
        <w:contextualSpacing/>
        <w:jc w:val="both"/>
        <w:rPr>
          <w:rFonts w:ascii="Arial" w:eastAsia="SimSun" w:hAnsi="Arial" w:cs="Arial"/>
          <w:sz w:val="22"/>
          <w:szCs w:val="24"/>
          <w:lang w:eastAsia="ar-SA"/>
        </w:rPr>
      </w:pPr>
      <w:r>
        <w:rPr>
          <w:rFonts w:ascii="Arial" w:eastAsia="SimSun" w:hAnsi="Arial" w:cs="Arial"/>
          <w:sz w:val="22"/>
          <w:szCs w:val="24"/>
          <w:lang w:eastAsia="ar-SA"/>
        </w:rPr>
        <w:t>froid durable avec la  mise en œuvre des techniques économes en énergie, à faible  impact environnemental, s’affranchissant, de l’utilisation de fluides frigorigènes de synthèse et capable d’être produit au moyen d’énergies alternatives</w:t>
      </w:r>
      <w:r>
        <w:rPr>
          <w:rFonts w:cstheme="minorHAnsi"/>
          <w:sz w:val="22"/>
        </w:rPr>
        <w:t xml:space="preserve"> non conventionnelles.</w:t>
      </w:r>
    </w:p>
    <w:p w:rsidR="0012005A" w:rsidRDefault="0012005A">
      <w:pPr>
        <w:spacing w:after="200" w:line="276" w:lineRule="auto"/>
        <w:contextualSpacing/>
        <w:jc w:val="both"/>
      </w:pPr>
    </w:p>
    <w:sectPr w:rsidR="0012005A">
      <w:headerReference w:type="default" r:id="rId12"/>
      <w:footerReference w:type="default" r:id="rId13"/>
      <w:pgSz w:w="11906" w:h="16838"/>
      <w:pgMar w:top="1134" w:right="1134" w:bottom="2010" w:left="1134" w:header="0" w:footer="1134" w:gutter="0"/>
      <w:cols w:space="720"/>
      <w:formProt w:val="0"/>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6E" w:rsidRDefault="00BF238A">
      <w:r>
        <w:separator/>
      </w:r>
    </w:p>
  </w:endnote>
  <w:endnote w:type="continuationSeparator" w:id="0">
    <w:p w:rsidR="0058186E" w:rsidRDefault="00BF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5010000000000000000"/>
    <w:charset w:val="02"/>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05A" w:rsidRDefault="00BF238A">
    <w:pPr>
      <w:pStyle w:val="Pieddepage"/>
      <w:tabs>
        <w:tab w:val="left" w:pos="6765"/>
      </w:tabs>
    </w:pPr>
    <w:r>
      <w:tab/>
    </w:r>
  </w:p>
  <w:p w:rsidR="0012005A" w:rsidRDefault="0012005A">
    <w:pPr>
      <w:pStyle w:val="Pieddepage"/>
      <w:rPr>
        <w:lang w:eastAsia="fr-FR"/>
      </w:rPr>
    </w:pPr>
  </w:p>
  <w:p w:rsidR="0012005A" w:rsidRDefault="0012005A">
    <w:pPr>
      <w:pStyle w:val="Pieddepage"/>
      <w:rPr>
        <w:lang w:eastAsia="fr-FR"/>
      </w:rPr>
    </w:pPr>
  </w:p>
  <w:p w:rsidR="0012005A" w:rsidRDefault="0012005A">
    <w:pPr>
      <w:pStyle w:val="Pieddepage"/>
      <w:rPr>
        <w:lang w:eastAsia="fr-FR"/>
      </w:rPr>
    </w:pPr>
  </w:p>
  <w:p w:rsidR="0012005A" w:rsidRDefault="00BF238A">
    <w:pPr>
      <w:pStyle w:val="Pieddepage"/>
    </w:pPr>
    <w:r>
      <w:rPr>
        <w:noProof/>
        <w:lang w:eastAsia="fr-FR" w:bidi="ar-SA"/>
      </w:rPr>
      <mc:AlternateContent>
        <mc:Choice Requires="wps">
          <w:drawing>
            <wp:anchor distT="36195" distB="36195" distL="36195" distR="36195" simplePos="0" relativeHeight="2" behindDoc="1" locked="0" layoutInCell="1" allowOverlap="1" wp14:anchorId="1261D4A2">
              <wp:simplePos x="0" y="0"/>
              <wp:positionH relativeFrom="page">
                <wp:posOffset>-43007915</wp:posOffset>
              </wp:positionH>
              <wp:positionV relativeFrom="page">
                <wp:posOffset>-4918710</wp:posOffset>
              </wp:positionV>
              <wp:extent cx="7202170" cy="2207895"/>
              <wp:effectExtent l="0" t="0" r="0" b="0"/>
              <wp:wrapNone/>
              <wp:docPr id="4" name="Image 5"/>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
                      <a:stretch/>
                    </pic:blipFill>
                    <pic:spPr>
                      <a:xfrm rot="10800000">
                        <a:off x="0" y="0"/>
                        <a:ext cx="7201440" cy="2207160"/>
                      </a:xfrm>
                      <a:prstGeom prst="rect">
                        <a:avLst/>
                      </a:prstGeom>
                      <a:ln>
                        <a:noFill/>
                      </a:ln>
                    </pic:spPr>
                  </pic:pic>
                </a:graphicData>
              </a:graphic>
            </wp:anchor>
          </w:drawing>
        </mc:Choice>
        <mc:Fallback>
          <w:pict>
            <v:rect id="shape_0" ID="Image 5" stroked="f" style="position:absolute;margin-left:-3386.45pt;margin-top:-387.3pt;width:567pt;height:173.75pt;rotation:180;mso-position-horizontal-relative:page;mso-position-vertical-relative:page" wp14:anchorId="1261D4A2">
              <v:imagedata r:id="rId2" o:detectmouseclick="t"/>
              <w10:wrap type="none"/>
              <v:stroke color="#3465a4" joinstyle="round" endcap="fla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top w:val="single" w:sz="8" w:space="0" w:color="00B0F0"/>
      </w:tblBorders>
      <w:tblLook w:val="04A0" w:firstRow="1" w:lastRow="0" w:firstColumn="1" w:lastColumn="0" w:noHBand="0" w:noVBand="1"/>
    </w:tblPr>
    <w:tblGrid>
      <w:gridCol w:w="8191"/>
      <w:gridCol w:w="1556"/>
    </w:tblGrid>
    <w:tr w:rsidR="0012005A">
      <w:trPr>
        <w:trHeight w:val="463"/>
      </w:trPr>
      <w:tc>
        <w:tcPr>
          <w:tcW w:w="8190" w:type="dxa"/>
          <w:tcBorders>
            <w:top w:val="single" w:sz="8" w:space="0" w:color="00B0F0"/>
          </w:tcBorders>
          <w:shd w:val="clear" w:color="auto" w:fill="FFFFFF"/>
        </w:tcPr>
        <w:p w:rsidR="0012005A" w:rsidRDefault="00BF238A">
          <w:pPr>
            <w:pStyle w:val="Pieddepage"/>
            <w:tabs>
              <w:tab w:val="center" w:pos="6096"/>
              <w:tab w:val="right" w:pos="7972"/>
            </w:tabs>
            <w:suppressAutoHyphens w:val="0"/>
            <w:rPr>
              <w:rFonts w:ascii="Arial" w:hAnsi="Arial" w:cs="Arial"/>
              <w:bCs/>
              <w:sz w:val="20"/>
              <w:szCs w:val="32"/>
              <w:lang w:eastAsia="fr-FR"/>
            </w:rPr>
          </w:pPr>
          <w:r>
            <w:rPr>
              <w:rFonts w:ascii="Arial" w:hAnsi="Arial" w:cs="Arial"/>
              <w:bCs/>
              <w:sz w:val="20"/>
              <w:szCs w:val="32"/>
              <w:lang w:eastAsia="fr-FR"/>
            </w:rPr>
            <w:t xml:space="preserve">Concours d’innovation </w:t>
          </w:r>
          <w:r w:rsidR="00C7124C">
            <w:rPr>
              <w:rFonts w:ascii="Arial" w:hAnsi="Arial" w:cs="Arial"/>
              <w:bCs/>
              <w:sz w:val="20"/>
              <w:szCs w:val="32"/>
              <w:lang w:eastAsia="fr-FR"/>
            </w:rPr>
            <w:t xml:space="preserve">pour une Alimentation Intelligente </w:t>
          </w:r>
          <w:r>
            <w:rPr>
              <w:rFonts w:ascii="Arial" w:hAnsi="Arial" w:cs="Arial"/>
              <w:bCs/>
              <w:sz w:val="20"/>
              <w:szCs w:val="32"/>
              <w:lang w:eastAsia="fr-FR"/>
            </w:rPr>
            <w:t xml:space="preserve">opéré par </w:t>
          </w:r>
          <w:proofErr w:type="spellStart"/>
          <w:r>
            <w:rPr>
              <w:rFonts w:ascii="Arial" w:hAnsi="Arial" w:cs="Arial"/>
              <w:bCs/>
              <w:sz w:val="20"/>
              <w:szCs w:val="32"/>
              <w:lang w:eastAsia="fr-FR"/>
            </w:rPr>
            <w:t>FranceAgriMer</w:t>
          </w:r>
          <w:proofErr w:type="spellEnd"/>
          <w:r>
            <w:rPr>
              <w:rFonts w:ascii="Arial" w:hAnsi="Arial" w:cs="Arial"/>
              <w:bCs/>
              <w:sz w:val="20"/>
              <w:szCs w:val="32"/>
              <w:lang w:eastAsia="fr-FR"/>
            </w:rPr>
            <w:t xml:space="preserve"> -  Décembre 2017</w:t>
          </w:r>
        </w:p>
        <w:p w:rsidR="0012005A" w:rsidRDefault="0012005A">
          <w:pPr>
            <w:pStyle w:val="Pieddepage"/>
            <w:tabs>
              <w:tab w:val="center" w:pos="6096"/>
            </w:tabs>
            <w:suppressAutoHyphens w:val="0"/>
            <w:rPr>
              <w:rFonts w:ascii="Arial" w:hAnsi="Arial" w:cs="Arial"/>
              <w:bCs/>
              <w:sz w:val="20"/>
              <w:szCs w:val="32"/>
              <w:lang w:eastAsia="fr-FR"/>
            </w:rPr>
          </w:pPr>
        </w:p>
      </w:tc>
      <w:tc>
        <w:tcPr>
          <w:tcW w:w="1556" w:type="dxa"/>
          <w:tcBorders>
            <w:top w:val="single" w:sz="8" w:space="0" w:color="00B0F0"/>
          </w:tcBorders>
          <w:shd w:val="clear" w:color="auto" w:fill="FFFFFF"/>
        </w:tcPr>
        <w:p w:rsidR="0012005A" w:rsidRDefault="0012005A">
          <w:pPr>
            <w:pStyle w:val="Pieddepage"/>
            <w:tabs>
              <w:tab w:val="center" w:pos="6096"/>
            </w:tabs>
            <w:suppressAutoHyphens w:val="0"/>
            <w:jc w:val="right"/>
            <w:rPr>
              <w:rFonts w:ascii="Arial" w:hAnsi="Arial" w:cs="Arial"/>
              <w:bCs/>
              <w:sz w:val="20"/>
              <w:szCs w:val="32"/>
              <w:lang w:eastAsia="fr-FR"/>
            </w:rPr>
          </w:pPr>
        </w:p>
      </w:tc>
    </w:tr>
  </w:tbl>
  <w:sdt>
    <w:sdtPr>
      <w:id w:val="1549373604"/>
      <w:docPartObj>
        <w:docPartGallery w:val="Page Numbers (Bottom of Page)"/>
        <w:docPartUnique/>
      </w:docPartObj>
    </w:sdtPr>
    <w:sdtEndPr/>
    <w:sdtContent>
      <w:p w:rsidR="0012005A" w:rsidRDefault="00BF238A">
        <w:pPr>
          <w:pStyle w:val="Pieddepage"/>
          <w:jc w:val="right"/>
        </w:pPr>
        <w:r>
          <w:fldChar w:fldCharType="begin"/>
        </w:r>
        <w:r>
          <w:instrText>PAGE</w:instrText>
        </w:r>
        <w:r>
          <w:fldChar w:fldCharType="separate"/>
        </w:r>
        <w:r w:rsidR="00074889">
          <w:rPr>
            <w:noProof/>
          </w:rPr>
          <w:t>14</w:t>
        </w:r>
        <w:r>
          <w:fldChar w:fldCharType="end"/>
        </w:r>
      </w:p>
    </w:sdtContent>
  </w:sdt>
  <w:p w:rsidR="0012005A" w:rsidRDefault="001200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5A" w:rsidRDefault="0012005A"/>
  </w:footnote>
  <w:footnote w:type="continuationSeparator" w:id="0">
    <w:p w:rsidR="0012005A" w:rsidRDefault="00BF238A">
      <w:r>
        <w:continuationSeparator/>
      </w:r>
    </w:p>
  </w:footnote>
  <w:footnote w:id="1">
    <w:p w:rsidR="0012005A" w:rsidRDefault="00BF238A">
      <w:pPr>
        <w:pStyle w:val="Notedebasdepage"/>
      </w:pPr>
      <w:r>
        <w:rPr>
          <w:rStyle w:val="Appelnotedebasdep"/>
          <w:rFonts w:ascii="Arial" w:hAnsi="Arial" w:cs="Arial"/>
          <w:sz w:val="18"/>
          <w:szCs w:val="18"/>
        </w:rPr>
        <w:footnoteRef/>
      </w:r>
      <w:r>
        <w:rPr>
          <w:rStyle w:val="Appelnotedebasdep"/>
          <w:rFonts w:ascii="Arial" w:hAnsi="Arial" w:cs="Arial"/>
          <w:sz w:val="18"/>
          <w:szCs w:val="18"/>
        </w:rPr>
        <w:tab/>
      </w:r>
      <w:r>
        <w:rPr>
          <w:rFonts w:ascii="Arial" w:hAnsi="Arial" w:cs="Arial"/>
          <w:sz w:val="18"/>
          <w:szCs w:val="18"/>
        </w:rPr>
        <w:t xml:space="preserve"> Selon la recommandation de la Commission n° 2003/361/CE du 6 mai 2003, « la catégorie des micro, petites et moyennes entreprises (PME) est constituée des entreprises non liées qui occupent moins de 250 personnes et dont le chiffre d'affaires annuel n'excède pas 50 millions d'euros ou dont le total du bilan annuel n'excède pas 43 millions d'euros »</w:t>
      </w:r>
    </w:p>
  </w:footnote>
  <w:footnote w:id="2">
    <w:p w:rsidR="0012005A" w:rsidRDefault="00BF238A">
      <w:pPr>
        <w:pStyle w:val="Notedebasdepage"/>
      </w:pPr>
      <w:r>
        <w:rPr>
          <w:rStyle w:val="Appelnotedebasdep"/>
          <w:rFonts w:ascii="Arial" w:hAnsi="Arial" w:cs="Arial"/>
          <w:sz w:val="18"/>
          <w:szCs w:val="18"/>
        </w:rPr>
        <w:footnoteRef/>
      </w:r>
      <w:r>
        <w:rPr>
          <w:rStyle w:val="Appelnotedebasdep"/>
          <w:rFonts w:ascii="Arial" w:hAnsi="Arial" w:cs="Arial"/>
          <w:sz w:val="18"/>
          <w:szCs w:val="18"/>
        </w:rPr>
        <w:tab/>
      </w:r>
      <w:r>
        <w:rPr>
          <w:rFonts w:ascii="Arial" w:hAnsi="Arial" w:cs="Arial"/>
          <w:sz w:val="18"/>
          <w:szCs w:val="18"/>
        </w:rPr>
        <w:t xml:space="preserve"> Le montant des capitaux propres est défini comme la somme exclusive des capitaux propres (ligne DL au passif du bilan) et des produits des émissions de titres participatifs (ligne DM au passif du bilan </w:t>
      </w:r>
      <w:proofErr w:type="spellStart"/>
      <w:r>
        <w:rPr>
          <w:rFonts w:ascii="Arial" w:hAnsi="Arial" w:cs="Arial"/>
          <w:sz w:val="18"/>
          <w:szCs w:val="18"/>
        </w:rPr>
        <w:t>yc</w:t>
      </w:r>
      <w:proofErr w:type="spellEnd"/>
      <w:r>
        <w:rPr>
          <w:rFonts w:ascii="Arial" w:hAnsi="Arial" w:cs="Arial"/>
          <w:sz w:val="18"/>
          <w:szCs w:val="18"/>
        </w:rPr>
        <w:t xml:space="preserve"> cc bloqués de 5 ans au moins</w:t>
      </w:r>
    </w:p>
  </w:footnote>
  <w:footnote w:id="3">
    <w:p w:rsidR="0012005A" w:rsidRDefault="00BF238A">
      <w:pPr>
        <w:pStyle w:val="Notedebasdepage"/>
      </w:pPr>
      <w:r>
        <w:rPr>
          <w:rFonts w:ascii="Arial" w:hAnsi="Arial" w:cs="Arial"/>
          <w:sz w:val="18"/>
          <w:vertAlign w:val="superscript"/>
        </w:rPr>
        <w:footnoteRef/>
      </w:r>
      <w:r>
        <w:rPr>
          <w:rFonts w:ascii="Arial" w:hAnsi="Arial" w:cs="Arial"/>
          <w:sz w:val="18"/>
          <w:vertAlign w:val="superscript"/>
        </w:rPr>
        <w:tab/>
      </w:r>
      <w:r>
        <w:rPr>
          <w:rFonts w:ascii="Arial" w:hAnsi="Arial" w:cs="Arial"/>
          <w:sz w:val="18"/>
        </w:rPr>
        <w:t xml:space="preserve"> Les frais connexes sont les dépenses qui concourent à la réalisation du projet sans toutefois pouvoir être directement attribués à celui-ci. Le montant forfaitaire de ces dépenses est égal à 20% des salaires de personnel internes.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05A" w:rsidRDefault="00BF238A">
    <w:pPr>
      <w:pStyle w:val="En-tte"/>
    </w:pPr>
    <w:r>
      <w:rPr>
        <w:noProof/>
        <w:lang w:eastAsia="fr-FR" w:bidi="ar-SA"/>
      </w:rPr>
      <w:drawing>
        <wp:anchor distT="0" distB="0" distL="114300" distR="114300" simplePos="0" relativeHeight="3" behindDoc="1" locked="0" layoutInCell="1" allowOverlap="1">
          <wp:simplePos x="0" y="0"/>
          <wp:positionH relativeFrom="page">
            <wp:posOffset>3094355</wp:posOffset>
          </wp:positionH>
          <wp:positionV relativeFrom="paragraph">
            <wp:posOffset>-491490</wp:posOffset>
          </wp:positionV>
          <wp:extent cx="932180" cy="95377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932180" cy="953770"/>
                  </a:xfrm>
                  <a:prstGeom prst="rect">
                    <a:avLst/>
                  </a:prstGeom>
                  <a:noFill/>
                  <a:ln w="9525">
                    <a:noFill/>
                    <a:miter lim="800000"/>
                    <a:headEnd/>
                    <a:tailEnd/>
                  </a:ln>
                </pic:spPr>
              </pic:pic>
            </a:graphicData>
          </a:graphic>
        </wp:anchor>
      </w:drawing>
    </w:r>
    <w:r>
      <w:rPr>
        <w:noProof/>
        <w:lang w:eastAsia="fr-FR" w:bidi="ar-SA"/>
      </w:rPr>
      <w:drawing>
        <wp:anchor distT="0" distB="0" distL="114300" distR="114300" simplePos="0" relativeHeight="4" behindDoc="1" locked="0" layoutInCell="1" allowOverlap="1">
          <wp:simplePos x="0" y="0"/>
          <wp:positionH relativeFrom="column">
            <wp:posOffset>-582930</wp:posOffset>
          </wp:positionH>
          <wp:positionV relativeFrom="paragraph">
            <wp:posOffset>-370840</wp:posOffset>
          </wp:positionV>
          <wp:extent cx="944880" cy="526415"/>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2"/>
                  <a:stretch>
                    <a:fillRect/>
                  </a:stretch>
                </pic:blipFill>
                <pic:spPr bwMode="auto">
                  <a:xfrm>
                    <a:off x="0" y="0"/>
                    <a:ext cx="944880" cy="526415"/>
                  </a:xfrm>
                  <a:prstGeom prst="rect">
                    <a:avLst/>
                  </a:prstGeom>
                  <a:noFill/>
                  <a:ln w="9525">
                    <a:noFill/>
                    <a:miter lim="800000"/>
                    <a:headEnd/>
                    <a:tailEnd/>
                  </a:ln>
                </pic:spPr>
              </pic:pic>
            </a:graphicData>
          </a:graphic>
        </wp:anchor>
      </w:drawing>
    </w:r>
    <w:r>
      <w:rPr>
        <w:noProof/>
        <w:lang w:eastAsia="fr-FR" w:bidi="ar-SA"/>
      </w:rPr>
      <w:drawing>
        <wp:anchor distT="0" distB="0" distL="114300" distR="114300" simplePos="0" relativeHeight="5" behindDoc="1" locked="0" layoutInCell="1" allowOverlap="1">
          <wp:simplePos x="0" y="0"/>
          <wp:positionH relativeFrom="column">
            <wp:posOffset>4578350</wp:posOffset>
          </wp:positionH>
          <wp:positionV relativeFrom="paragraph">
            <wp:posOffset>-527050</wp:posOffset>
          </wp:positionV>
          <wp:extent cx="1556385" cy="756285"/>
          <wp:effectExtent l="0" t="0" r="0" b="0"/>
          <wp:wrapSquare wrapText="bothSides"/>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3"/>
                  <a:stretch>
                    <a:fillRect/>
                  </a:stretch>
                </pic:blipFill>
                <pic:spPr bwMode="auto">
                  <a:xfrm>
                    <a:off x="0" y="0"/>
                    <a:ext cx="1556385" cy="75628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05A" w:rsidRDefault="001200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695"/>
    <w:multiLevelType w:val="multilevel"/>
    <w:tmpl w:val="702A764C"/>
    <w:lvl w:ilvl="0">
      <w:start w:val="1"/>
      <w:numFmt w:val="bullet"/>
      <w:lvlText w:val=""/>
      <w:lvlJc w:val="left"/>
      <w:pPr>
        <w:ind w:left="1788" w:hanging="360"/>
      </w:pPr>
      <w:rPr>
        <w:rFonts w:ascii="Symbol" w:hAnsi="Symbol" w:cs="Symbol" w:hint="default"/>
        <w:sz w:val="22"/>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sz w:val="22"/>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sz w:val="22"/>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1" w15:restartNumberingAfterBreak="0">
    <w:nsid w:val="049C11AD"/>
    <w:multiLevelType w:val="multilevel"/>
    <w:tmpl w:val="92F67A54"/>
    <w:lvl w:ilvl="0">
      <w:start w:val="1"/>
      <w:numFmt w:val="bullet"/>
      <w:lvlText w:val=""/>
      <w:lvlJc w:val="left"/>
      <w:pPr>
        <w:tabs>
          <w:tab w:val="num" w:pos="1080"/>
        </w:tabs>
        <w:ind w:left="108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2"/>
      </w:rPr>
    </w:lvl>
    <w:lvl w:ilvl="2">
      <w:start w:val="1"/>
      <w:numFmt w:val="bullet"/>
      <w:lvlText w:val=""/>
      <w:lvlJc w:val="left"/>
      <w:pPr>
        <w:tabs>
          <w:tab w:val="num" w:pos="1800"/>
        </w:tabs>
        <w:ind w:left="1800" w:hanging="360"/>
      </w:pPr>
      <w:rPr>
        <w:rFonts w:ascii="Symbol" w:hAnsi="Symbol" w:cs="Symbol" w:hint="default"/>
        <w:sz w:val="22"/>
      </w:rPr>
    </w:lvl>
    <w:lvl w:ilvl="3">
      <w:start w:val="1"/>
      <w:numFmt w:val="bullet"/>
      <w:lvlText w:val=""/>
      <w:lvlJc w:val="left"/>
      <w:pPr>
        <w:tabs>
          <w:tab w:val="num" w:pos="2160"/>
        </w:tabs>
        <w:ind w:left="2160" w:hanging="360"/>
      </w:pPr>
      <w:rPr>
        <w:rFonts w:ascii="Symbol" w:hAnsi="Symbol" w:cs="Symbol" w:hint="default"/>
        <w:sz w:val="22"/>
      </w:rPr>
    </w:lvl>
    <w:lvl w:ilvl="4">
      <w:start w:val="1"/>
      <w:numFmt w:val="bullet"/>
      <w:lvlText w:val=""/>
      <w:lvlJc w:val="left"/>
      <w:pPr>
        <w:tabs>
          <w:tab w:val="num" w:pos="2520"/>
        </w:tabs>
        <w:ind w:left="2520" w:hanging="360"/>
      </w:pPr>
      <w:rPr>
        <w:rFonts w:ascii="Symbol" w:hAnsi="Symbol" w:cs="Symbol" w:hint="default"/>
        <w:sz w:val="22"/>
      </w:rPr>
    </w:lvl>
    <w:lvl w:ilvl="5">
      <w:start w:val="1"/>
      <w:numFmt w:val="bullet"/>
      <w:lvlText w:val=""/>
      <w:lvlJc w:val="left"/>
      <w:pPr>
        <w:tabs>
          <w:tab w:val="num" w:pos="2880"/>
        </w:tabs>
        <w:ind w:left="2880" w:hanging="360"/>
      </w:pPr>
      <w:rPr>
        <w:rFonts w:ascii="Symbol" w:hAnsi="Symbol" w:cs="Symbol" w:hint="default"/>
        <w:sz w:val="22"/>
      </w:rPr>
    </w:lvl>
    <w:lvl w:ilvl="6">
      <w:start w:val="1"/>
      <w:numFmt w:val="bullet"/>
      <w:lvlText w:val=""/>
      <w:lvlJc w:val="left"/>
      <w:pPr>
        <w:tabs>
          <w:tab w:val="num" w:pos="3240"/>
        </w:tabs>
        <w:ind w:left="3240" w:hanging="360"/>
      </w:pPr>
      <w:rPr>
        <w:rFonts w:ascii="Symbol" w:hAnsi="Symbol" w:cs="Symbol" w:hint="default"/>
        <w:sz w:val="22"/>
      </w:rPr>
    </w:lvl>
    <w:lvl w:ilvl="7">
      <w:start w:val="1"/>
      <w:numFmt w:val="bullet"/>
      <w:lvlText w:val=""/>
      <w:lvlJc w:val="left"/>
      <w:pPr>
        <w:tabs>
          <w:tab w:val="num" w:pos="3600"/>
        </w:tabs>
        <w:ind w:left="3600" w:hanging="360"/>
      </w:pPr>
      <w:rPr>
        <w:rFonts w:ascii="Symbol" w:hAnsi="Symbol" w:cs="Symbol" w:hint="default"/>
        <w:sz w:val="22"/>
      </w:rPr>
    </w:lvl>
    <w:lvl w:ilvl="8">
      <w:start w:val="1"/>
      <w:numFmt w:val="bullet"/>
      <w:lvlText w:val=""/>
      <w:lvlJc w:val="left"/>
      <w:pPr>
        <w:tabs>
          <w:tab w:val="num" w:pos="3960"/>
        </w:tabs>
        <w:ind w:left="3960" w:hanging="360"/>
      </w:pPr>
      <w:rPr>
        <w:rFonts w:ascii="Symbol" w:hAnsi="Symbol" w:cs="Symbol" w:hint="default"/>
        <w:sz w:val="22"/>
      </w:rPr>
    </w:lvl>
  </w:abstractNum>
  <w:abstractNum w:abstractNumId="2" w15:restartNumberingAfterBreak="0">
    <w:nsid w:val="07CE1AF9"/>
    <w:multiLevelType w:val="multilevel"/>
    <w:tmpl w:val="DC50A270"/>
    <w:lvl w:ilvl="0">
      <w:start w:val="1"/>
      <w:numFmt w:val="bullet"/>
      <w:lvlText w:val=""/>
      <w:lvlJc w:val="left"/>
      <w:pPr>
        <w:ind w:left="720" w:hanging="360"/>
      </w:pPr>
      <w:rPr>
        <w:rFonts w:ascii="Symbol" w:hAnsi="Symbol" w:cs="Symbol" w:hint="default"/>
        <w:caps/>
      </w:rPr>
    </w:lvl>
    <w:lvl w:ilvl="1">
      <w:start w:val="1"/>
      <w:numFmt w:val="decimal"/>
      <w:lvlText w:val="%2"/>
      <w:lvlJc w:val="left"/>
      <w:pPr>
        <w:ind w:left="1080" w:hanging="360"/>
      </w:pPr>
    </w:lvl>
    <w:lvl w:ilvl="2">
      <w:start w:val="1"/>
      <w:numFmt w:val="bullet"/>
      <w:lvlText w:val=""/>
      <w:lvlJc w:val="left"/>
      <w:pPr>
        <w:ind w:left="1440" w:hanging="360"/>
      </w:pPr>
      <w:rPr>
        <w:rFonts w:ascii="Symbol" w:hAnsi="Symbol" w:cs="Symbol" w:hint="default"/>
        <w:sz w:val="22"/>
      </w:rPr>
    </w:lvl>
    <w:lvl w:ilvl="3">
      <w:start w:val="1"/>
      <w:numFmt w:val="bullet"/>
      <w:lvlText w:val=""/>
      <w:lvlJc w:val="left"/>
      <w:pPr>
        <w:ind w:left="1800" w:hanging="360"/>
      </w:pPr>
      <w:rPr>
        <w:rFonts w:ascii="Wingdings" w:hAnsi="Wingdings" w:cs="Wingdings" w:hint="default"/>
        <w:caps/>
        <w:sz w:val="22"/>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0BE7CD3"/>
    <w:multiLevelType w:val="multilevel"/>
    <w:tmpl w:val="E37233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0F531FA"/>
    <w:multiLevelType w:val="multilevel"/>
    <w:tmpl w:val="E08E413E"/>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18E53E03"/>
    <w:multiLevelType w:val="multilevel"/>
    <w:tmpl w:val="647C6B48"/>
    <w:lvl w:ilvl="0">
      <w:start w:val="1"/>
      <w:numFmt w:val="bullet"/>
      <w:lvlText w:val="-"/>
      <w:lvlJc w:val="left"/>
      <w:pPr>
        <w:ind w:left="1068" w:hanging="360"/>
      </w:pPr>
      <w:rPr>
        <w:rFonts w:ascii="Calibri" w:hAnsi="Calibri" w:cs="Calibri" w:hint="default"/>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sz w:val="22"/>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sz w:val="22"/>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1B1A755B"/>
    <w:multiLevelType w:val="multilevel"/>
    <w:tmpl w:val="FF5C148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abstractNum w:abstractNumId="7" w15:restartNumberingAfterBreak="0">
    <w:nsid w:val="25F56D72"/>
    <w:multiLevelType w:val="multilevel"/>
    <w:tmpl w:val="E554714E"/>
    <w:lvl w:ilvl="0">
      <w:start w:val="1"/>
      <w:numFmt w:val="upperLetter"/>
      <w:lvlText w:val="%1."/>
      <w:lvlJc w:val="left"/>
      <w:pPr>
        <w:ind w:left="643" w:hanging="360"/>
      </w:pPr>
      <w:rPr>
        <w:rFonts w:ascii="Arial" w:hAnsi="Arial"/>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8D311B"/>
    <w:multiLevelType w:val="multilevel"/>
    <w:tmpl w:val="125A4CB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C8276C9"/>
    <w:multiLevelType w:val="multilevel"/>
    <w:tmpl w:val="C3C86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6E1C3F"/>
    <w:multiLevelType w:val="multilevel"/>
    <w:tmpl w:val="85D6DBA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abstractNum w:abstractNumId="11" w15:restartNumberingAfterBreak="0">
    <w:nsid w:val="61247290"/>
    <w:multiLevelType w:val="multilevel"/>
    <w:tmpl w:val="B5CA8B14"/>
    <w:lvl w:ilvl="0">
      <w:start w:val="1"/>
      <w:numFmt w:val="bullet"/>
      <w:lvlText w:val=""/>
      <w:lvlJc w:val="left"/>
      <w:pPr>
        <w:tabs>
          <w:tab w:val="num" w:pos="720"/>
        </w:tabs>
        <w:ind w:left="720" w:hanging="360"/>
      </w:pPr>
      <w:rPr>
        <w:rFonts w:ascii="Symbol" w:hAnsi="Symbol" w:cs="OpenSymbol" w:hint="default"/>
        <w:b/>
        <w:sz w:val="22"/>
      </w:rPr>
    </w:lvl>
    <w:lvl w:ilvl="1">
      <w:start w:val="1"/>
      <w:numFmt w:val="bullet"/>
      <w:lvlText w:val="◦"/>
      <w:lvlJc w:val="left"/>
      <w:pPr>
        <w:tabs>
          <w:tab w:val="num" w:pos="1080"/>
        </w:tabs>
        <w:ind w:left="1080" w:hanging="360"/>
      </w:pPr>
      <w:rPr>
        <w:rFonts w:ascii="OpenSymbol" w:hAnsi="OpenSymbol" w:cs="OpenSymbol" w:hint="default"/>
        <w:b/>
        <w:sz w:val="22"/>
      </w:rPr>
    </w:lvl>
    <w:lvl w:ilvl="2">
      <w:start w:val="1"/>
      <w:numFmt w:val="bullet"/>
      <w:lvlText w:val="▪"/>
      <w:lvlJc w:val="left"/>
      <w:pPr>
        <w:tabs>
          <w:tab w:val="num" w:pos="1440"/>
        </w:tabs>
        <w:ind w:left="1440" w:hanging="360"/>
      </w:pPr>
      <w:rPr>
        <w:rFonts w:ascii="OpenSymbol" w:hAnsi="OpenSymbol" w:cs="OpenSymbol" w:hint="default"/>
        <w:b/>
        <w:sz w:val="22"/>
      </w:rPr>
    </w:lvl>
    <w:lvl w:ilvl="3">
      <w:start w:val="1"/>
      <w:numFmt w:val="bullet"/>
      <w:lvlText w:val=""/>
      <w:lvlJc w:val="left"/>
      <w:pPr>
        <w:tabs>
          <w:tab w:val="num" w:pos="1800"/>
        </w:tabs>
        <w:ind w:left="1800" w:hanging="360"/>
      </w:pPr>
      <w:rPr>
        <w:rFonts w:ascii="Symbol" w:hAnsi="Symbol" w:cs="OpenSymbol" w:hint="default"/>
        <w:b/>
        <w:sz w:val="22"/>
      </w:rPr>
    </w:lvl>
    <w:lvl w:ilvl="4">
      <w:start w:val="1"/>
      <w:numFmt w:val="bullet"/>
      <w:lvlText w:val="◦"/>
      <w:lvlJc w:val="left"/>
      <w:pPr>
        <w:tabs>
          <w:tab w:val="num" w:pos="2160"/>
        </w:tabs>
        <w:ind w:left="2160" w:hanging="360"/>
      </w:pPr>
      <w:rPr>
        <w:rFonts w:ascii="OpenSymbol" w:hAnsi="OpenSymbol" w:cs="OpenSymbol" w:hint="default"/>
        <w:b/>
        <w:sz w:val="22"/>
      </w:rPr>
    </w:lvl>
    <w:lvl w:ilvl="5">
      <w:start w:val="1"/>
      <w:numFmt w:val="bullet"/>
      <w:lvlText w:val="▪"/>
      <w:lvlJc w:val="left"/>
      <w:pPr>
        <w:tabs>
          <w:tab w:val="num" w:pos="2520"/>
        </w:tabs>
        <w:ind w:left="2520" w:hanging="360"/>
      </w:pPr>
      <w:rPr>
        <w:rFonts w:ascii="OpenSymbol" w:hAnsi="OpenSymbol" w:cs="OpenSymbol" w:hint="default"/>
        <w:b/>
        <w:sz w:val="22"/>
      </w:rPr>
    </w:lvl>
    <w:lvl w:ilvl="6">
      <w:start w:val="1"/>
      <w:numFmt w:val="bullet"/>
      <w:lvlText w:val=""/>
      <w:lvlJc w:val="left"/>
      <w:pPr>
        <w:tabs>
          <w:tab w:val="num" w:pos="2880"/>
        </w:tabs>
        <w:ind w:left="2880" w:hanging="360"/>
      </w:pPr>
      <w:rPr>
        <w:rFonts w:ascii="Symbol" w:hAnsi="Symbol" w:cs="OpenSymbol" w:hint="default"/>
        <w:b/>
        <w:sz w:val="22"/>
      </w:rPr>
    </w:lvl>
    <w:lvl w:ilvl="7">
      <w:start w:val="1"/>
      <w:numFmt w:val="bullet"/>
      <w:lvlText w:val="◦"/>
      <w:lvlJc w:val="left"/>
      <w:pPr>
        <w:tabs>
          <w:tab w:val="num" w:pos="3240"/>
        </w:tabs>
        <w:ind w:left="3240" w:hanging="360"/>
      </w:pPr>
      <w:rPr>
        <w:rFonts w:ascii="OpenSymbol" w:hAnsi="OpenSymbol" w:cs="OpenSymbol" w:hint="default"/>
        <w:b/>
        <w:sz w:val="22"/>
      </w:rPr>
    </w:lvl>
    <w:lvl w:ilvl="8">
      <w:start w:val="1"/>
      <w:numFmt w:val="bullet"/>
      <w:lvlText w:val="▪"/>
      <w:lvlJc w:val="left"/>
      <w:pPr>
        <w:tabs>
          <w:tab w:val="num" w:pos="3600"/>
        </w:tabs>
        <w:ind w:left="3600" w:hanging="360"/>
      </w:pPr>
      <w:rPr>
        <w:rFonts w:ascii="OpenSymbol" w:hAnsi="OpenSymbol" w:cs="OpenSymbol" w:hint="default"/>
        <w:b/>
        <w:sz w:val="22"/>
      </w:rPr>
    </w:lvl>
  </w:abstractNum>
  <w:abstractNum w:abstractNumId="12" w15:restartNumberingAfterBreak="0">
    <w:nsid w:val="632415D9"/>
    <w:multiLevelType w:val="multilevel"/>
    <w:tmpl w:val="AD5064D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2D062C1"/>
    <w:multiLevelType w:val="multilevel"/>
    <w:tmpl w:val="89586F5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num w:numId="1">
    <w:abstractNumId w:val="9"/>
  </w:num>
  <w:num w:numId="2">
    <w:abstractNumId w:val="12"/>
  </w:num>
  <w:num w:numId="3">
    <w:abstractNumId w:val="7"/>
  </w:num>
  <w:num w:numId="4">
    <w:abstractNumId w:val="5"/>
  </w:num>
  <w:num w:numId="5">
    <w:abstractNumId w:val="2"/>
  </w:num>
  <w:num w:numId="6">
    <w:abstractNumId w:val="6"/>
  </w:num>
  <w:num w:numId="7">
    <w:abstractNumId w:val="1"/>
  </w:num>
  <w:num w:numId="8">
    <w:abstractNumId w:val="10"/>
  </w:num>
  <w:num w:numId="9">
    <w:abstractNumId w:val="13"/>
  </w:num>
  <w:num w:numId="10">
    <w:abstractNumId w:val="4"/>
  </w:num>
  <w:num w:numId="11">
    <w:abstractNumId w:val="8"/>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5A"/>
    <w:rsid w:val="000604FE"/>
    <w:rsid w:val="00074889"/>
    <w:rsid w:val="0012005A"/>
    <w:rsid w:val="00446CA4"/>
    <w:rsid w:val="0058186E"/>
    <w:rsid w:val="005A6C8E"/>
    <w:rsid w:val="00AC506B"/>
    <w:rsid w:val="00BF238A"/>
    <w:rsid w:val="00C7124C"/>
    <w:rsid w:val="00CC7D7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265A0-BE3F-43E3-B7C6-3AB987D5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rPr>
  </w:style>
  <w:style w:type="paragraph" w:styleId="Titre1">
    <w:name w:val="heading 1"/>
    <w:basedOn w:val="Titreprincipal"/>
    <w:rsid w:val="00F978F0"/>
    <w:pPr>
      <w:pageBreakBefore/>
      <w:spacing w:after="240"/>
      <w:outlineLvl w:val="0"/>
    </w:pPr>
    <w:rPr>
      <w:rFonts w:ascii="Times New Roman" w:eastAsia="Times New Roman" w:hAnsi="Times New Roman"/>
      <w:b/>
      <w:bCs/>
      <w:caps/>
      <w:color w:val="3CB6EC"/>
      <w:sz w:val="22"/>
      <w:szCs w:val="32"/>
    </w:rPr>
  </w:style>
  <w:style w:type="paragraph" w:styleId="Titre2">
    <w:name w:val="heading 2"/>
    <w:basedOn w:val="Titreprincipal"/>
    <w:pPr>
      <w:spacing w:after="0"/>
      <w:outlineLvl w:val="1"/>
    </w:pPr>
    <w:rPr>
      <w:rFonts w:ascii="Times New Roman" w:eastAsia="Times New Roman" w:hAnsi="Times New Roman"/>
      <w:b/>
      <w:bCs/>
      <w:iCs/>
      <w:sz w:val="22"/>
    </w:rPr>
  </w:style>
  <w:style w:type="paragraph" w:styleId="Titre3">
    <w:name w:val="heading 3"/>
    <w:basedOn w:val="Titreprincipal"/>
    <w:pPr>
      <w:outlineLvl w:val="2"/>
    </w:pPr>
  </w:style>
  <w:style w:type="paragraph" w:styleId="Titre5">
    <w:name w:val="heading 5"/>
    <w:basedOn w:val="Titreprincipal"/>
    <w:pPr>
      <w:ind w:left="284"/>
      <w:outlineLvl w:val="4"/>
    </w:pPr>
    <w:rPr>
      <w:rFonts w:ascii="Garamond" w:eastAsia="Times New Roman" w:hAnsi="Garamond" w:cs="Garamond"/>
      <w:color w:val="000000"/>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color w:val="00000A"/>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cs="Times New Roman"/>
      <w:b/>
      <w:bCs/>
    </w:rPr>
  </w:style>
  <w:style w:type="character" w:customStyle="1" w:styleId="WW8Num4z2">
    <w:name w:val="WW8Num4z2"/>
    <w:qFormat/>
    <w:rPr>
      <w:rFonts w:cs="Times New Roman"/>
    </w:rPr>
  </w:style>
  <w:style w:type="character" w:customStyle="1" w:styleId="WW8Num5z0">
    <w:name w:val="WW8Num5z0"/>
    <w:qFormat/>
    <w:rPr>
      <w:rFonts w:ascii="Arial" w:eastAsia="Times New Roman"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7z0">
    <w:name w:val="WW8Num7z0"/>
    <w:qFormat/>
    <w:rPr>
      <w:rFonts w:ascii="Wingdings" w:eastAsia="Times New Roman" w:hAnsi="Wingdings" w:cs="Wingdings"/>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Courier New" w:hAnsi="Courier New" w:cs="Courier New"/>
    </w:rPr>
  </w:style>
  <w:style w:type="character" w:customStyle="1" w:styleId="WW8Num13z0">
    <w:name w:val="WW8Num13z0"/>
    <w:qFormat/>
    <w:rPr>
      <w:rFonts w:ascii="Symbol" w:hAnsi="Symbol" w:cs="Symbol"/>
      <w:color w:val="00000A"/>
    </w:rPr>
  </w:style>
  <w:style w:type="character" w:customStyle="1" w:styleId="WW8Num14z0">
    <w:name w:val="WW8Num14z0"/>
    <w:qFormat/>
    <w:rPr>
      <w:rFonts w:ascii="Times New Roman" w:hAnsi="Times New Roman" w:cs="Times New Roman"/>
    </w:rPr>
  </w:style>
  <w:style w:type="character" w:customStyle="1" w:styleId="WW8Num15z0">
    <w:name w:val="WW8Num15z0"/>
    <w:qFormat/>
    <w:rPr>
      <w:rFonts w:ascii="Symbol" w:hAnsi="Symbol" w:cs="Symbol"/>
      <w:color w:val="00000A"/>
    </w:rPr>
  </w:style>
  <w:style w:type="character" w:customStyle="1" w:styleId="WW8Num16z0">
    <w:name w:val="WW8Num16z0"/>
    <w:qFormat/>
    <w:rPr>
      <w:rFonts w:ascii="Symbol" w:hAnsi="Symbol" w:cs="Symbol"/>
    </w:rPr>
  </w:style>
  <w:style w:type="character" w:customStyle="1" w:styleId="WW8Num17z0">
    <w:name w:val="WW8Num17z0"/>
    <w:qFormat/>
    <w:rPr>
      <w:rFonts w:ascii="Courier New" w:hAnsi="Courier New" w:cs="Courier New"/>
    </w:rPr>
  </w:style>
  <w:style w:type="character" w:customStyle="1" w:styleId="WW8Num18z0">
    <w:name w:val="WW8Num18z0"/>
    <w:qFormat/>
    <w:rPr>
      <w:rFonts w:cs="Times New Roman"/>
    </w:rPr>
  </w:style>
  <w:style w:type="character" w:customStyle="1" w:styleId="WW8Num19z0">
    <w:name w:val="WW8Num19z0"/>
    <w:qFormat/>
    <w:rPr>
      <w:rFonts w:ascii="Symbol" w:hAnsi="Symbol" w:cs="Symbol"/>
    </w:rPr>
  </w:style>
  <w:style w:type="character" w:customStyle="1" w:styleId="WW8Num19z1">
    <w:name w:val="WW8Num19z1"/>
    <w:qFormat/>
    <w:rPr>
      <w:rFonts w:cs="Times New Roman"/>
    </w:rPr>
  </w:style>
  <w:style w:type="character" w:customStyle="1" w:styleId="WW8Num20z0">
    <w:name w:val="WW8Num20z0"/>
    <w:qFormat/>
    <w:rPr>
      <w:rFonts w:ascii="Arial" w:eastAsia="Times New Roman" w:hAnsi="Arial" w:cs="Arial"/>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Arial" w:hAnsi="Arial" w:cs="Times New Roman"/>
      <w:caps/>
    </w:rPr>
  </w:style>
  <w:style w:type="character" w:customStyle="1" w:styleId="WW8Num23z0">
    <w:name w:val="WW8Num23z0"/>
    <w:qFormat/>
    <w:rPr>
      <w:rFonts w:ascii="Symbol" w:hAnsi="Symbol" w:cs="Symbol"/>
    </w:rPr>
  </w:style>
  <w:style w:type="character" w:customStyle="1" w:styleId="WW8Num23z1">
    <w:name w:val="WW8Num23z1"/>
    <w:qFormat/>
    <w:rPr>
      <w:rFonts w:ascii="Wingdings" w:hAnsi="Wingdings" w:cs="Wingdings"/>
      <w:b w:val="0"/>
      <w:i w:val="0"/>
      <w:color w:val="008000"/>
      <w:sz w:val="22"/>
    </w:rPr>
  </w:style>
  <w:style w:type="character" w:customStyle="1" w:styleId="WW8Num23z2">
    <w:name w:val="WW8Num23z2"/>
    <w:qFormat/>
    <w:rPr>
      <w:rFonts w:ascii="Cambria" w:hAnsi="Cambria" w:cs="Cambria"/>
      <w:b/>
      <w:i w:val="0"/>
      <w:color w:val="008000"/>
      <w:sz w:val="22"/>
    </w:rPr>
  </w:style>
  <w:style w:type="character" w:customStyle="1" w:styleId="WW8Num23z3">
    <w:name w:val="WW8Num23z3"/>
    <w:qFormat/>
    <w:rPr>
      <w:rFonts w:cs="Times New Roman"/>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3">
    <w:name w:val="WW8Num5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1">
    <w:name w:val="WW8Num13z1"/>
    <w:qFormat/>
    <w:rPr>
      <w:rFonts w:ascii="Wingdings" w:hAnsi="Wingdings" w:cs="Wingdings"/>
    </w:rPr>
  </w:style>
  <w:style w:type="character" w:customStyle="1" w:styleId="WW8Num13z2">
    <w:name w:val="WW8Num13z2"/>
    <w:qFormat/>
    <w:rPr>
      <w:rFonts w:cs="Times New Roman"/>
    </w:rPr>
  </w:style>
  <w:style w:type="character" w:customStyle="1" w:styleId="WW8Num13z3">
    <w:name w:val="WW8Num13z3"/>
    <w:qFormat/>
    <w:rPr>
      <w:rFonts w:ascii="Arial Unicode MS" w:eastAsia="Arial Unicode MS" w:hAnsi="Arial Unicode MS" w:cs="Arial Unicode MS"/>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5z5">
    <w:name w:val="WW8Num15z5"/>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2z1">
    <w:name w:val="WW8Num22z1"/>
    <w:qFormat/>
    <w:rPr>
      <w:rFonts w:cs="Times New Roman"/>
    </w:rPr>
  </w:style>
  <w:style w:type="character" w:customStyle="1" w:styleId="WW8Num24z0">
    <w:name w:val="WW8Num24z0"/>
    <w:qFormat/>
    <w:rPr>
      <w:rFonts w:ascii="Times New Roman" w:hAnsi="Times New Roman" w:cs="Times New Roman"/>
    </w:rPr>
  </w:style>
  <w:style w:type="character" w:customStyle="1" w:styleId="WW8Num24z2">
    <w:name w:val="WW8Num24z2"/>
    <w:qFormat/>
    <w:rPr>
      <w:rFonts w:ascii="Arial" w:hAnsi="Arial" w:cs="Arial"/>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Times New Roman" w:hAnsi="Arial" w:cs="Aria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Wingdings" w:hAnsi="Wingdings" w:cs="Wingdings"/>
      <w:sz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Wingdings 2" w:hAnsi="Wingdings 2" w:cs="Wingdings 2"/>
      <w:b w:val="0"/>
      <w:i w:val="0"/>
      <w:color w:val="008000"/>
      <w:sz w:val="18"/>
    </w:rPr>
  </w:style>
  <w:style w:type="character" w:customStyle="1" w:styleId="WW8Num29z1">
    <w:name w:val="WW8Num29z1"/>
    <w:qFormat/>
    <w:rPr>
      <w:rFonts w:ascii="Wingdings" w:hAnsi="Wingdings" w:cs="Wingdings"/>
      <w:b w:val="0"/>
      <w:i w:val="0"/>
      <w:color w:val="008000"/>
      <w:sz w:val="22"/>
    </w:rPr>
  </w:style>
  <w:style w:type="character" w:customStyle="1" w:styleId="WW8Num29z2">
    <w:name w:val="WW8Num29z2"/>
    <w:qFormat/>
    <w:rPr>
      <w:rFonts w:ascii="Cambria" w:hAnsi="Cambria" w:cs="Cambria"/>
      <w:b/>
      <w:i w:val="0"/>
      <w:color w:val="008000"/>
      <w:sz w:val="22"/>
    </w:rPr>
  </w:style>
  <w:style w:type="character" w:customStyle="1" w:styleId="WW8Num29z3">
    <w:name w:val="WW8Num29z3"/>
    <w:qFormat/>
    <w:rPr>
      <w:rFonts w:cs="Times New Roman"/>
    </w:rPr>
  </w:style>
  <w:style w:type="character" w:customStyle="1" w:styleId="Policepardfaut1">
    <w:name w:val="Police par défaut1"/>
    <w:qFormat/>
  </w:style>
  <w:style w:type="character" w:customStyle="1" w:styleId="Titre1Car">
    <w:name w:val="Titre 1 Car"/>
    <w:qFormat/>
    <w:rPr>
      <w:rFonts w:ascii="Arial" w:hAnsi="Arial" w:cs="Times New Roman"/>
      <w:b/>
      <w:bCs/>
      <w:caps/>
      <w:color w:val="3CB6EC"/>
      <w:sz w:val="32"/>
      <w:szCs w:val="32"/>
    </w:rPr>
  </w:style>
  <w:style w:type="character" w:customStyle="1" w:styleId="Titre2Car">
    <w:name w:val="Titre 2 Car"/>
    <w:qFormat/>
    <w:rPr>
      <w:rFonts w:ascii="Cambria" w:hAnsi="Cambria" w:cs="Times New Roman"/>
      <w:b/>
      <w:bCs/>
      <w:i/>
      <w:iCs/>
      <w:sz w:val="28"/>
      <w:szCs w:val="28"/>
    </w:rPr>
  </w:style>
  <w:style w:type="character" w:customStyle="1" w:styleId="Titre5Car">
    <w:name w:val="Titre 5 Car"/>
    <w:qFormat/>
    <w:rPr>
      <w:rFonts w:ascii="Calibri" w:hAnsi="Calibri" w:cs="Times New Roman"/>
      <w:b/>
      <w:bCs/>
      <w:i/>
      <w:iCs/>
      <w:sz w:val="26"/>
      <w:szCs w:val="26"/>
    </w:rPr>
  </w:style>
  <w:style w:type="character" w:customStyle="1" w:styleId="TextedebullesCar">
    <w:name w:val="Texte de bulles Car"/>
    <w:qFormat/>
    <w:rPr>
      <w:rFonts w:cs="Times New Roman"/>
      <w:sz w:val="2"/>
    </w:rPr>
  </w:style>
  <w:style w:type="character" w:customStyle="1" w:styleId="NotedebasdepageCar">
    <w:name w:val="Note de bas de page Car"/>
    <w:qFormat/>
    <w:rPr>
      <w:rFonts w:cs="Times New Roman"/>
      <w:lang w:val="fr-FR"/>
    </w:rPr>
  </w:style>
  <w:style w:type="character" w:customStyle="1" w:styleId="Caractresdenotedebasdepage">
    <w:name w:val="Caractères de note de bas de page"/>
    <w:qFormat/>
    <w:rPr>
      <w:rFonts w:cs="Times New Roman"/>
      <w:vertAlign w:val="superscript"/>
    </w:rPr>
  </w:style>
  <w:style w:type="character" w:customStyle="1" w:styleId="puce1Car">
    <w:name w:val="puce 1 Car"/>
    <w:qFormat/>
    <w:rPr>
      <w:rFonts w:ascii="Book Antiqua" w:hAnsi="Book Antiqua" w:cs="Book Antiqua"/>
      <w:i/>
      <w:sz w:val="22"/>
      <w:lang w:val="fr-FR"/>
    </w:rPr>
  </w:style>
  <w:style w:type="character" w:customStyle="1" w:styleId="PieddepageCar">
    <w:name w:val="Pied de page Car"/>
    <w:qFormat/>
    <w:rPr>
      <w:rFonts w:cs="Times New Roman"/>
      <w:sz w:val="24"/>
    </w:rPr>
  </w:style>
  <w:style w:type="character" w:styleId="Numrodepage">
    <w:name w:val="page number"/>
    <w:qFormat/>
    <w:rPr>
      <w:rFonts w:cs="Times New Roman"/>
    </w:rPr>
  </w:style>
  <w:style w:type="character" w:customStyle="1" w:styleId="Marquedecommentaire1">
    <w:name w:val="Marque de commentaire1"/>
    <w:qFormat/>
    <w:rPr>
      <w:rFonts w:cs="Times New Roman"/>
      <w:sz w:val="16"/>
    </w:rPr>
  </w:style>
  <w:style w:type="character" w:customStyle="1" w:styleId="CommentaireCar">
    <w:name w:val="Commentaire Car"/>
    <w:qFormat/>
    <w:rPr>
      <w:rFonts w:ascii="Arial" w:hAnsi="Arial" w:cs="Times New Roman"/>
      <w:sz w:val="20"/>
      <w:szCs w:val="20"/>
    </w:rPr>
  </w:style>
  <w:style w:type="character" w:customStyle="1" w:styleId="ObjetducommentaireCar">
    <w:name w:val="Objet du commentaire Car"/>
    <w:qFormat/>
    <w:rPr>
      <w:rFonts w:ascii="Arial" w:hAnsi="Arial" w:cs="Times New Roman"/>
      <w:b/>
      <w:bCs/>
      <w:sz w:val="20"/>
      <w:szCs w:val="20"/>
    </w:rPr>
  </w:style>
  <w:style w:type="character" w:customStyle="1" w:styleId="En-tteCar">
    <w:name w:val="En-tête Car"/>
    <w:qFormat/>
    <w:rPr>
      <w:rFonts w:ascii="Arial" w:hAnsi="Arial" w:cs="Times New Roman"/>
      <w:sz w:val="22"/>
    </w:rPr>
  </w:style>
  <w:style w:type="character" w:customStyle="1" w:styleId="Retraitcorpsdetexte2Car">
    <w:name w:val="Retrait corps de texte 2 Car"/>
    <w:qFormat/>
    <w:rPr>
      <w:rFonts w:ascii="Arial" w:hAnsi="Arial" w:cs="Times New Roman"/>
      <w:sz w:val="20"/>
      <w:szCs w:val="20"/>
    </w:rPr>
  </w:style>
  <w:style w:type="character" w:customStyle="1" w:styleId="LienInternet">
    <w:name w:val="Lien Internet"/>
    <w:basedOn w:val="Policepardfaut"/>
    <w:uiPriority w:val="99"/>
    <w:unhideWhenUsed/>
    <w:rsid w:val="00003DBC"/>
    <w:rPr>
      <w:color w:val="0000FF" w:themeColor="hyperlink"/>
      <w:u w:val="single"/>
    </w:rPr>
  </w:style>
  <w:style w:type="character" w:customStyle="1" w:styleId="NotedefinCar">
    <w:name w:val="Note de fin Car"/>
    <w:qFormat/>
    <w:rPr>
      <w:rFonts w:ascii="Arial" w:hAnsi="Arial" w:cs="Times New Roman"/>
    </w:rPr>
  </w:style>
  <w:style w:type="character" w:customStyle="1" w:styleId="Caractresdenotedefin">
    <w:name w:val="Caractères de note de fin"/>
    <w:qFormat/>
    <w:rPr>
      <w:rFonts w:cs="Times New Roman"/>
      <w:vertAlign w:val="superscript"/>
    </w:rPr>
  </w:style>
  <w:style w:type="character" w:customStyle="1" w:styleId="Puces1CarCar">
    <w:name w:val="Puces 1 Car Car"/>
    <w:qFormat/>
    <w:rPr>
      <w:rFonts w:ascii="Cambria" w:hAnsi="Cambria" w:cs="Cambria"/>
      <w:sz w:val="24"/>
      <w:lang w:val="fr-FR"/>
    </w:rPr>
  </w:style>
  <w:style w:type="character" w:customStyle="1" w:styleId="standardCar">
    <w:name w:val="standard Car"/>
    <w:qFormat/>
    <w:rPr>
      <w:rFonts w:ascii="Cambria" w:hAnsi="Cambria" w:cs="Cambria"/>
      <w:sz w:val="22"/>
      <w:lang w:val="fr-FR" w:eastAsia="ar-SA" w:bidi="ar-SA"/>
    </w:rPr>
  </w:style>
  <w:style w:type="character" w:styleId="Appelnotedebasdep">
    <w:name w:val="footnote reference"/>
    <w:uiPriority w:val="99"/>
    <w:qFormat/>
    <w:rPr>
      <w:vertAlign w:val="superscript"/>
    </w:rPr>
  </w:style>
  <w:style w:type="character" w:styleId="Appeldenotedefin">
    <w:name w:val="endnote reference"/>
    <w:qFormat/>
    <w:rPr>
      <w:vertAlign w:val="superscript"/>
    </w:rPr>
  </w:style>
  <w:style w:type="character" w:customStyle="1" w:styleId="Caractresdenumrotation">
    <w:name w:val="Caractères de numérotation"/>
    <w:qFormat/>
  </w:style>
  <w:style w:type="character" w:styleId="Lienhypertextesuivivisit">
    <w:name w:val="FollowedHyperlink"/>
    <w:qFormat/>
    <w:rPr>
      <w:color w:val="800080"/>
      <w:u w:val="single"/>
    </w:rPr>
  </w:style>
  <w:style w:type="character" w:styleId="Marquedecommentaire">
    <w:name w:val="annotation reference"/>
    <w:qFormat/>
    <w:rPr>
      <w:sz w:val="16"/>
      <w:szCs w:val="16"/>
    </w:rPr>
  </w:style>
  <w:style w:type="character" w:customStyle="1" w:styleId="CommentaireCar1">
    <w:name w:val="Commentaire Car1"/>
    <w:qFormat/>
    <w:rPr>
      <w:rFonts w:ascii="Arial" w:hAnsi="Arial" w:cs="Arial"/>
      <w:lang w:eastAsia="ar-SA"/>
    </w:rPr>
  </w:style>
  <w:style w:type="character" w:customStyle="1" w:styleId="ListLabel1">
    <w:name w:val="ListLabel 1"/>
    <w:qFormat/>
    <w:rPr>
      <w:rFonts w:cs="Symbol"/>
    </w:rPr>
  </w:style>
  <w:style w:type="character" w:customStyle="1" w:styleId="ListLabel2">
    <w:name w:val="ListLabel 2"/>
    <w:qFormat/>
    <w:rPr>
      <w:rFonts w:cs="Times New Roman"/>
      <w:b/>
      <w:bCs/>
    </w:rPr>
  </w:style>
  <w:style w:type="character" w:customStyle="1" w:styleId="ListLabel3">
    <w:name w:val="ListLabel 3"/>
    <w:qFormat/>
    <w:rPr>
      <w:rFonts w:cs="Times New Roman"/>
    </w:rPr>
  </w:style>
  <w:style w:type="character" w:customStyle="1" w:styleId="ListLabel4">
    <w:name w:val="ListLabel 4"/>
    <w:qFormat/>
    <w:rPr>
      <w:rFonts w:cs="Wingdings"/>
      <w:b w:val="0"/>
      <w:i w:val="0"/>
      <w:color w:val="008000"/>
      <w:sz w:val="22"/>
    </w:rPr>
  </w:style>
  <w:style w:type="character" w:customStyle="1" w:styleId="ListLabel5">
    <w:name w:val="ListLabel 5"/>
    <w:qFormat/>
    <w:rPr>
      <w:rFonts w:cs="Cambria"/>
      <w:b/>
      <w:i w:val="0"/>
      <w:color w:val="008000"/>
      <w:sz w:val="22"/>
    </w:rPr>
  </w:style>
  <w:style w:type="character" w:customStyle="1" w:styleId="ListLabel6">
    <w:name w:val="ListLabel 6"/>
    <w:qFormat/>
    <w:rPr>
      <w:rFonts w:cs="Symbol"/>
      <w:color w:val="3CB6EC"/>
    </w:rPr>
  </w:style>
  <w:style w:type="character" w:customStyle="1" w:styleId="ListLabel7">
    <w:name w:val="ListLabel 7"/>
    <w:qFormat/>
    <w:rPr>
      <w:rFonts w:cs="Courier New"/>
    </w:rPr>
  </w:style>
  <w:style w:type="character" w:customStyle="1" w:styleId="ListLabel8">
    <w:name w:val="ListLabel 8"/>
    <w:qFormat/>
    <w:rPr>
      <w:rFonts w:eastAsia="Times New Roman" w:cs="Arial"/>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Arial"/>
    </w:rPr>
  </w:style>
  <w:style w:type="character" w:customStyle="1" w:styleId="NotedebasdepageCar1">
    <w:name w:val="Note de bas de page Car1"/>
    <w:basedOn w:val="Policepardfaut"/>
    <w:link w:val="Notedebasdepage"/>
    <w:uiPriority w:val="99"/>
    <w:qFormat/>
    <w:locked/>
    <w:rsid w:val="00BE739D"/>
    <w:rPr>
      <w:rFonts w:ascii="Arial" w:hAnsi="Arial" w:cs="Arial"/>
      <w:color w:val="00000A"/>
      <w:sz w:val="22"/>
      <w:lang w:eastAsia="ar-SA"/>
    </w:rPr>
  </w:style>
  <w:style w:type="character" w:customStyle="1" w:styleId="tgc">
    <w:name w:val="_tgc"/>
    <w:basedOn w:val="Policepardfaut"/>
    <w:qFormat/>
    <w:rsid w:val="003D618D"/>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Symbol"/>
      <w:caps/>
    </w:rPr>
  </w:style>
  <w:style w:type="character" w:customStyle="1" w:styleId="ListLabel17">
    <w:name w:val="ListLabel 17"/>
    <w:qFormat/>
    <w:rPr>
      <w:rFonts w:cs="Times New Roman"/>
      <w:caps/>
    </w:rPr>
  </w:style>
  <w:style w:type="character" w:customStyle="1" w:styleId="ListLabel18">
    <w:name w:val="ListLabel 18"/>
    <w:qFormat/>
    <w:rPr>
      <w:rFonts w:cs="Arial"/>
    </w:rPr>
  </w:style>
  <w:style w:type="character" w:customStyle="1" w:styleId="ListLabel19">
    <w:name w:val="ListLabel 19"/>
    <w:qFormat/>
    <w:rPr>
      <w:rFonts w:cs="Wingdings"/>
    </w:rPr>
  </w:style>
  <w:style w:type="character" w:customStyle="1" w:styleId="ListLabel20">
    <w:name w:val="ListLabel 20"/>
    <w:qFormat/>
    <w:rPr>
      <w:rFonts w:eastAsia="Calibri" w:cs="Calibri"/>
    </w:rPr>
  </w:style>
  <w:style w:type="character" w:customStyle="1" w:styleId="ListLabel21">
    <w:name w:val="ListLabel 21"/>
    <w:qFormat/>
    <w:rPr>
      <w:rFonts w:eastAsia="Calibri"/>
    </w:rPr>
  </w:style>
  <w:style w:type="character" w:customStyle="1" w:styleId="ListLabel22">
    <w:name w:val="ListLabel 22"/>
    <w:qFormat/>
    <w:rPr>
      <w:rFonts w:eastAsia="Calibri" w:cs="Mangal"/>
    </w:rPr>
  </w:style>
  <w:style w:type="character" w:customStyle="1" w:styleId="ListLabel23">
    <w:name w:val="ListLabel 23"/>
    <w:qFormat/>
    <w:rPr>
      <w:rFonts w:eastAsia="Calibri"/>
    </w:rPr>
  </w:style>
  <w:style w:type="character" w:customStyle="1" w:styleId="ListLabel24">
    <w:name w:val="ListLabel 24"/>
    <w:qFormat/>
    <w:rPr>
      <w:rFonts w:cs="Arial"/>
      <w:b/>
    </w:rPr>
  </w:style>
  <w:style w:type="character" w:customStyle="1" w:styleId="ListLabel25">
    <w:name w:val="ListLabel 25"/>
    <w:qFormat/>
    <w:rPr>
      <w:rFonts w:cs="OpenSymbol"/>
    </w:rPr>
  </w:style>
  <w:style w:type="character" w:customStyle="1" w:styleId="ListLabel26">
    <w:name w:val="ListLabel 26"/>
    <w:qFormat/>
    <w:rPr>
      <w:rFonts w:cs="Symbol"/>
    </w:rPr>
  </w:style>
  <w:style w:type="character" w:customStyle="1" w:styleId="ListLabel27">
    <w:name w:val="ListLabel 27"/>
    <w:qFormat/>
    <w:rPr>
      <w:rFonts w:cs="Wingdings"/>
    </w:rPr>
  </w:style>
  <w:style w:type="character" w:customStyle="1" w:styleId="ListLabel28">
    <w:name w:val="ListLabel 28"/>
    <w:qFormat/>
    <w:rPr>
      <w:rFonts w:cs="Courier New"/>
    </w:rPr>
  </w:style>
  <w:style w:type="character" w:customStyle="1" w:styleId="ListLabel29">
    <w:name w:val="ListLabel 29"/>
    <w:qFormat/>
    <w:rPr>
      <w:rFonts w:cs="Arial"/>
    </w:rPr>
  </w:style>
  <w:style w:type="character" w:customStyle="1" w:styleId="ListLabel30">
    <w:name w:val="ListLabel 30"/>
    <w:qFormat/>
    <w:rPr>
      <w:rFonts w:cs="Times New Roman"/>
    </w:rPr>
  </w:style>
  <w:style w:type="character" w:customStyle="1" w:styleId="ListLabel31">
    <w:name w:val="ListLabel 31"/>
    <w:qFormat/>
    <w:rPr>
      <w:rFonts w:cs="Symbol"/>
      <w:caps/>
    </w:rPr>
  </w:style>
  <w:style w:type="character" w:customStyle="1" w:styleId="ListLabel32">
    <w:name w:val="ListLabel 32"/>
    <w:qFormat/>
    <w:rPr>
      <w:rFonts w:cs="Calibri"/>
    </w:rPr>
  </w:style>
  <w:style w:type="character" w:customStyle="1" w:styleId="ListLabel33">
    <w:name w:val="ListLabel 33"/>
    <w:qFormat/>
    <w:rPr>
      <w:b/>
    </w:rPr>
  </w:style>
  <w:style w:type="character" w:customStyle="1" w:styleId="ListLabel34">
    <w:name w:val="ListLabel 34"/>
    <w:qFormat/>
    <w:rPr>
      <w:rFonts w:cs="OpenSymbol"/>
    </w:rPr>
  </w:style>
  <w:style w:type="character" w:customStyle="1" w:styleId="Sautdindex">
    <w:name w:val="Saut d'index"/>
    <w:qFormat/>
  </w:style>
  <w:style w:type="character" w:customStyle="1" w:styleId="ListLabel35">
    <w:name w:val="ListLabel 35"/>
    <w:qFormat/>
    <w:rPr>
      <w:rFonts w:cs="Symbol"/>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Arial"/>
    </w:rPr>
  </w:style>
  <w:style w:type="character" w:customStyle="1" w:styleId="ListLabel39">
    <w:name w:val="ListLabel 39"/>
    <w:qFormat/>
    <w:rPr>
      <w:rFonts w:cs="Times New Roman"/>
    </w:rPr>
  </w:style>
  <w:style w:type="character" w:customStyle="1" w:styleId="ListLabel40">
    <w:name w:val="ListLabel 40"/>
    <w:qFormat/>
    <w:rPr>
      <w:rFonts w:cs="Symbol"/>
      <w:caps/>
    </w:rPr>
  </w:style>
  <w:style w:type="character" w:customStyle="1" w:styleId="ListLabel41">
    <w:name w:val="ListLabel 41"/>
    <w:qFormat/>
    <w:rPr>
      <w:rFonts w:cs="Calibri"/>
    </w:rPr>
  </w:style>
  <w:style w:type="character" w:customStyle="1" w:styleId="ListLabel42">
    <w:name w:val="ListLabel 42"/>
    <w:qFormat/>
    <w:rPr>
      <w:b/>
    </w:rPr>
  </w:style>
  <w:style w:type="character" w:customStyle="1" w:styleId="ListLabel43">
    <w:name w:val="ListLabel 43"/>
    <w:qFormat/>
    <w:rPr>
      <w:rFonts w:cs="OpenSymbol"/>
    </w:rPr>
  </w:style>
  <w:style w:type="character" w:customStyle="1" w:styleId="ListLabel44">
    <w:name w:val="ListLabel 44"/>
    <w:qFormat/>
    <w:rPr>
      <w:rFonts w:eastAsia="Calibri" w:cs="Mangal"/>
    </w:rPr>
  </w:style>
  <w:style w:type="character" w:customStyle="1" w:styleId="ListLabel45">
    <w:name w:val="ListLabel 45"/>
    <w:qFormat/>
    <w:rPr>
      <w:rFonts w:eastAsia="Calibri" w:cs="Calibri"/>
    </w:rPr>
  </w:style>
  <w:style w:type="character" w:customStyle="1" w:styleId="ListLabel46">
    <w:name w:val="ListLabel 46"/>
    <w:qFormat/>
    <w:rPr>
      <w:caps/>
    </w:rPr>
  </w:style>
  <w:style w:type="character" w:customStyle="1" w:styleId="ListLabel47">
    <w:name w:val="ListLabel 47"/>
    <w:qFormat/>
    <w:rPr>
      <w:rFonts w:eastAsia="SimSun" w:cs="Mangal"/>
    </w:rPr>
  </w:style>
  <w:style w:type="character" w:customStyle="1" w:styleId="Puces">
    <w:name w:val="Puces"/>
    <w:qFormat/>
    <w:rPr>
      <w:rFonts w:ascii="OpenSymbol" w:eastAsia="OpenSymbol" w:hAnsi="OpenSymbol" w:cs="OpenSymbol"/>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b/>
    </w:rPr>
  </w:style>
  <w:style w:type="character" w:customStyle="1" w:styleId="ListLabel52">
    <w:name w:val="ListLabel 52"/>
    <w:qFormat/>
    <w:rPr>
      <w:rFonts w:cs="OpenSymbol"/>
    </w:rPr>
  </w:style>
  <w:style w:type="character" w:customStyle="1" w:styleId="ListLabel53">
    <w:name w:val="ListLabel 53"/>
    <w:qFormat/>
    <w:rPr>
      <w:rFonts w:cs="Calibri"/>
    </w:rPr>
  </w:style>
  <w:style w:type="character" w:customStyle="1" w:styleId="ListLabel54">
    <w:name w:val="ListLabel 54"/>
    <w:qFormat/>
    <w:rPr>
      <w:rFonts w:cs="Symbol"/>
      <w:caps/>
    </w:rPr>
  </w:style>
  <w:style w:type="character" w:customStyle="1" w:styleId="ListLabel55">
    <w:name w:val="ListLabel 55"/>
    <w:qFormat/>
    <w:rPr>
      <w:rFonts w:cs="Wingdings"/>
      <w:caps/>
    </w:rPr>
  </w:style>
  <w:style w:type="character" w:customStyle="1" w:styleId="ListLabel56">
    <w:name w:val="ListLabel 56"/>
    <w:qFormat/>
    <w:rPr>
      <w:rFonts w:ascii="Arial" w:hAnsi="Arial" w:cs="Symbol"/>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Arial" w:hAnsi="Arial"/>
      <w:b w:val="0"/>
      <w:sz w:val="24"/>
    </w:rPr>
  </w:style>
  <w:style w:type="character" w:customStyle="1" w:styleId="ListLabel60">
    <w:name w:val="ListLabel 60"/>
    <w:qFormat/>
    <w:rPr>
      <w:rFonts w:ascii="Arial" w:hAnsi="Arial" w:cs="Calibri"/>
      <w:sz w:val="22"/>
    </w:rPr>
  </w:style>
  <w:style w:type="character" w:customStyle="1" w:styleId="ListLabel61">
    <w:name w:val="ListLabel 61"/>
    <w:qFormat/>
    <w:rPr>
      <w:rFonts w:cs="Symbol"/>
      <w:caps/>
    </w:rPr>
  </w:style>
  <w:style w:type="character" w:customStyle="1" w:styleId="ListLabel62">
    <w:name w:val="ListLabel 62"/>
    <w:qFormat/>
    <w:rPr>
      <w:rFonts w:cs="Wingdings"/>
      <w:caps/>
      <w:sz w:val="22"/>
    </w:rPr>
  </w:style>
  <w:style w:type="character" w:customStyle="1" w:styleId="ListLabel63">
    <w:name w:val="ListLabel 63"/>
    <w:qFormat/>
    <w:rPr>
      <w:rFonts w:ascii="Arial" w:hAnsi="Arial" w:cs="OpenSymbol"/>
      <w:b/>
      <w:sz w:val="22"/>
    </w:rPr>
  </w:style>
  <w:style w:type="character" w:customStyle="1" w:styleId="ListLabel64">
    <w:name w:val="ListLabel 64"/>
    <w:qFormat/>
    <w:rPr>
      <w:rFonts w:ascii="Arial" w:hAnsi="Arial"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b w:val="0"/>
      <w:sz w:val="24"/>
    </w:rPr>
  </w:style>
  <w:style w:type="character" w:customStyle="1" w:styleId="ListLabel68">
    <w:name w:val="ListLabel 68"/>
    <w:qFormat/>
    <w:rPr>
      <w:rFonts w:ascii="Arial" w:hAnsi="Arial" w:cs="Calibri"/>
      <w:sz w:val="22"/>
    </w:rPr>
  </w:style>
  <w:style w:type="character" w:customStyle="1" w:styleId="ListLabel69">
    <w:name w:val="ListLabel 69"/>
    <w:qFormat/>
    <w:rPr>
      <w:rFonts w:cs="Symbol"/>
      <w:caps/>
    </w:rPr>
  </w:style>
  <w:style w:type="character" w:customStyle="1" w:styleId="ListLabel70">
    <w:name w:val="ListLabel 70"/>
    <w:qFormat/>
    <w:rPr>
      <w:rFonts w:cs="Wingdings"/>
      <w:caps/>
      <w:sz w:val="22"/>
    </w:rPr>
  </w:style>
  <w:style w:type="character" w:customStyle="1" w:styleId="ListLabel71">
    <w:name w:val="ListLabel 71"/>
    <w:qFormat/>
    <w:rPr>
      <w:rFonts w:ascii="Arial" w:hAnsi="Arial" w:cs="Symbol"/>
      <w:sz w:val="22"/>
    </w:rPr>
  </w:style>
  <w:style w:type="character" w:customStyle="1" w:styleId="ListLabel72">
    <w:name w:val="ListLabel 72"/>
    <w:qFormat/>
    <w:rPr>
      <w:rFonts w:ascii="Arial" w:hAnsi="Arial" w:cs="OpenSymbol"/>
      <w:b/>
      <w:sz w:val="22"/>
    </w:rPr>
  </w:style>
  <w:style w:type="character" w:customStyle="1" w:styleId="ListLabel73">
    <w:name w:val="ListLabel 73"/>
    <w:qFormat/>
    <w:rPr>
      <w:rFonts w:ascii="Arial" w:hAnsi="Arial" w:cs="Symbol"/>
      <w:sz w:val="22"/>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b w:val="0"/>
      <w:sz w:val="24"/>
    </w:rPr>
  </w:style>
  <w:style w:type="character" w:customStyle="1" w:styleId="ListLabel77">
    <w:name w:val="ListLabel 77"/>
    <w:qFormat/>
    <w:rPr>
      <w:rFonts w:ascii="Arial" w:hAnsi="Arial" w:cs="Calibri"/>
      <w:sz w:val="22"/>
    </w:rPr>
  </w:style>
  <w:style w:type="character" w:customStyle="1" w:styleId="ListLabel78">
    <w:name w:val="ListLabel 78"/>
    <w:qFormat/>
    <w:rPr>
      <w:rFonts w:cs="Symbol"/>
      <w:caps/>
    </w:rPr>
  </w:style>
  <w:style w:type="character" w:customStyle="1" w:styleId="ListLabel79">
    <w:name w:val="ListLabel 79"/>
    <w:qFormat/>
    <w:rPr>
      <w:rFonts w:cs="Wingdings"/>
      <w:caps/>
      <w:sz w:val="22"/>
    </w:rPr>
  </w:style>
  <w:style w:type="character" w:customStyle="1" w:styleId="ListLabel80">
    <w:name w:val="ListLabel 80"/>
    <w:qFormat/>
    <w:rPr>
      <w:rFonts w:ascii="Arial" w:hAnsi="Arial" w:cs="OpenSymbol"/>
      <w:b/>
      <w:sz w:val="22"/>
    </w:rPr>
  </w:style>
  <w:style w:type="character" w:customStyle="1" w:styleId="ListLabel81">
    <w:name w:val="ListLabel 81"/>
    <w:qFormat/>
    <w:rPr>
      <w:rFonts w:ascii="Arial" w:hAnsi="Arial" w:cs="Symbol"/>
      <w:sz w:val="22"/>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w:hAnsi="Arial"/>
      <w:b w:val="0"/>
      <w:sz w:val="24"/>
    </w:rPr>
  </w:style>
  <w:style w:type="character" w:customStyle="1" w:styleId="ListLabel85">
    <w:name w:val="ListLabel 85"/>
    <w:qFormat/>
    <w:rPr>
      <w:rFonts w:ascii="Arial" w:hAnsi="Arial" w:cs="Calibri"/>
      <w:sz w:val="22"/>
    </w:rPr>
  </w:style>
  <w:style w:type="character" w:customStyle="1" w:styleId="ListLabel86">
    <w:name w:val="ListLabel 86"/>
    <w:qFormat/>
    <w:rPr>
      <w:rFonts w:cs="Symbol"/>
      <w:caps/>
    </w:rPr>
  </w:style>
  <w:style w:type="character" w:customStyle="1" w:styleId="ListLabel87">
    <w:name w:val="ListLabel 87"/>
    <w:qFormat/>
    <w:rPr>
      <w:rFonts w:cs="Wingdings"/>
      <w:caps/>
      <w:sz w:val="22"/>
    </w:rPr>
  </w:style>
  <w:style w:type="character" w:customStyle="1" w:styleId="ListLabel88">
    <w:name w:val="ListLabel 88"/>
    <w:qFormat/>
    <w:rPr>
      <w:rFonts w:ascii="Arial" w:hAnsi="Arial" w:cs="OpenSymbol"/>
      <w:b/>
      <w:sz w:val="22"/>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widowControl w:val="0"/>
      <w:spacing w:after="120" w:line="288" w:lineRule="auto"/>
    </w:pPr>
    <w:rPr>
      <w:sz w:val="22"/>
    </w:rPr>
  </w:style>
  <w:style w:type="paragraph" w:styleId="Liste">
    <w:name w:val="List"/>
    <w:basedOn w:val="Corpsdetexte"/>
    <w:rPr>
      <w:rFonts w:ascii="Liberation Sans" w:hAnsi="Liberation Sans" w:cs="Mangal"/>
    </w:rPr>
  </w:style>
  <w:style w:type="paragraph" w:styleId="Lgende">
    <w:name w:val="caption"/>
    <w:qFormat/>
    <w:pPr>
      <w:widowControl w:val="0"/>
      <w:suppressLineNumbers/>
      <w:suppressAutoHyphens/>
      <w:spacing w:before="120" w:after="120"/>
    </w:pPr>
    <w:rPr>
      <w:i/>
      <w:iCs/>
      <w:color w:val="00000A"/>
    </w:rPr>
  </w:style>
  <w:style w:type="paragraph" w:customStyle="1" w:styleId="Index">
    <w:name w:val="Index"/>
    <w:basedOn w:val="Normal"/>
    <w:qFormat/>
    <w:pPr>
      <w:widowControl w:val="0"/>
      <w:suppressLineNumbers/>
    </w:pPr>
    <w:rPr>
      <w:rFonts w:ascii="Liberation Sans" w:hAnsi="Liberation Sans" w:cs="Mangal"/>
      <w:sz w:val="22"/>
    </w:rPr>
  </w:style>
  <w:style w:type="paragraph" w:customStyle="1" w:styleId="Titreprincipal">
    <w:name w:val="Titre principal"/>
    <w:basedOn w:val="Normal"/>
    <w:pPr>
      <w:keepNext/>
      <w:widowControl w:val="0"/>
      <w:spacing w:before="240" w:after="120"/>
    </w:pPr>
    <w:rPr>
      <w:rFonts w:ascii="Liberation Sans" w:eastAsia="Microsoft YaHei" w:hAnsi="Liberation Sans"/>
      <w:sz w:val="28"/>
      <w:szCs w:val="28"/>
    </w:rPr>
  </w:style>
  <w:style w:type="paragraph" w:customStyle="1" w:styleId="Normal1">
    <w:name w:val="Normal1"/>
    <w:qFormat/>
    <w:pPr>
      <w:suppressAutoHyphens/>
      <w:spacing w:after="60"/>
      <w:textAlignment w:val="baseline"/>
    </w:pPr>
    <w:rPr>
      <w:rFonts w:ascii="Arial" w:eastAsia="SimSun" w:hAnsi="Arial" w:cs="Arial"/>
      <w:color w:val="000000"/>
      <w:sz w:val="24"/>
      <w:szCs w:val="24"/>
      <w:lang w:eastAsia="ar-SA" w:bidi="hi-IN"/>
    </w:rPr>
  </w:style>
  <w:style w:type="paragraph" w:customStyle="1" w:styleId="Titre20">
    <w:name w:val="Titre2"/>
    <w:basedOn w:val="Normal1"/>
    <w:qFormat/>
    <w:pPr>
      <w:keepNext/>
      <w:spacing w:before="240" w:after="120"/>
    </w:pPr>
    <w:rPr>
      <w:rFonts w:ascii="Liberation Sans" w:hAnsi="Liberation Sans"/>
      <w:sz w:val="28"/>
      <w:szCs w:val="28"/>
    </w:rPr>
  </w:style>
  <w:style w:type="paragraph" w:customStyle="1" w:styleId="Lgende1">
    <w:name w:val="Légende1"/>
    <w:basedOn w:val="Normal1"/>
    <w:qFormat/>
    <w:pPr>
      <w:suppressLineNumbers/>
      <w:spacing w:before="120" w:after="120"/>
    </w:pPr>
    <w:rPr>
      <w:rFonts w:ascii="Liberation Sans" w:hAnsi="Liberation Sans"/>
      <w:i/>
      <w:iCs/>
    </w:rPr>
  </w:style>
  <w:style w:type="paragraph" w:styleId="Textedebulles">
    <w:name w:val="Balloon Text"/>
    <w:basedOn w:val="Normal1"/>
    <w:qFormat/>
    <w:rPr>
      <w:rFonts w:ascii="Tahoma" w:hAnsi="Tahoma" w:cs="Tahoma"/>
      <w:sz w:val="16"/>
      <w:szCs w:val="16"/>
    </w:rPr>
  </w:style>
  <w:style w:type="paragraph" w:styleId="Notedebasdepage">
    <w:name w:val="footnote text"/>
    <w:basedOn w:val="Normal"/>
    <w:link w:val="NotedebasdepageCar1"/>
  </w:style>
  <w:style w:type="paragraph" w:customStyle="1" w:styleId="CharCarChar1CarCarCarCarCarCar1CarCarCar">
    <w:name w:val="Char Car Char1 Car Car Car Car Car Car1 Car Car Car"/>
    <w:basedOn w:val="Normal1"/>
    <w:qFormat/>
    <w:pPr>
      <w:spacing w:line="20" w:lineRule="exact"/>
    </w:pPr>
    <w:rPr>
      <w:rFonts w:ascii="Bookman Old Style" w:hAnsi="Bookman Old Style" w:cs="Bookman Old Style"/>
      <w:lang w:val="en-US"/>
    </w:rPr>
  </w:style>
  <w:style w:type="paragraph" w:customStyle="1" w:styleId="Times">
    <w:name w:val="Times"/>
    <w:basedOn w:val="Normal1"/>
    <w:qFormat/>
  </w:style>
  <w:style w:type="paragraph" w:customStyle="1" w:styleId="puce1">
    <w:name w:val="puce 1"/>
    <w:basedOn w:val="Normal1"/>
    <w:qFormat/>
    <w:pPr>
      <w:tabs>
        <w:tab w:val="left" w:pos="1134"/>
      </w:tabs>
      <w:spacing w:before="200"/>
    </w:pPr>
    <w:rPr>
      <w:rFonts w:ascii="Book Antiqua" w:hAnsi="Book Antiqua" w:cs="Book Antiqua"/>
      <w:i/>
    </w:rPr>
  </w:style>
  <w:style w:type="paragraph" w:customStyle="1" w:styleId="tab">
    <w:name w:val="tab"/>
    <w:basedOn w:val="Normal1"/>
    <w:qFormat/>
    <w:pPr>
      <w:tabs>
        <w:tab w:val="left" w:pos="1581"/>
      </w:tabs>
    </w:pPr>
  </w:style>
  <w:style w:type="paragraph" w:styleId="Pieddepage">
    <w:name w:val="footer"/>
    <w:basedOn w:val="Normal1"/>
    <w:pPr>
      <w:tabs>
        <w:tab w:val="center" w:pos="4536"/>
        <w:tab w:val="right" w:pos="9072"/>
      </w:tabs>
    </w:pPr>
    <w:rPr>
      <w:rFonts w:ascii="Times New Roman" w:hAnsi="Times New Roman" w:cs="Times New Roman"/>
    </w:rPr>
  </w:style>
  <w:style w:type="paragraph" w:customStyle="1" w:styleId="Tabledesmatiresniveau2">
    <w:name w:val="Table des matières niveau 2"/>
    <w:basedOn w:val="Normal1"/>
    <w:next w:val="Normal1"/>
    <w:pPr>
      <w:ind w:left="240"/>
    </w:pPr>
    <w:rPr>
      <w:smallCaps/>
      <w:sz w:val="20"/>
    </w:rPr>
  </w:style>
  <w:style w:type="paragraph" w:customStyle="1" w:styleId="Commentaire1">
    <w:name w:val="Commentaire1"/>
    <w:basedOn w:val="Normal1"/>
    <w:qFormat/>
    <w:rPr>
      <w:sz w:val="20"/>
    </w:rPr>
  </w:style>
  <w:style w:type="paragraph" w:styleId="Objetducommentaire">
    <w:name w:val="annotation subject"/>
    <w:basedOn w:val="Commentaire1"/>
    <w:next w:val="Commentaire1"/>
    <w:qFormat/>
    <w:rPr>
      <w:b/>
      <w:bCs/>
    </w:rPr>
  </w:style>
  <w:style w:type="paragraph" w:styleId="En-tte">
    <w:name w:val="header"/>
    <w:basedOn w:val="Normal1"/>
    <w:pPr>
      <w:tabs>
        <w:tab w:val="center" w:pos="4536"/>
        <w:tab w:val="right" w:pos="9072"/>
      </w:tabs>
    </w:pPr>
  </w:style>
  <w:style w:type="paragraph" w:customStyle="1" w:styleId="Retraitcorpsdetexte21">
    <w:name w:val="Retrait corps de texte 21"/>
    <w:basedOn w:val="Normal1"/>
    <w:qFormat/>
    <w:pPr>
      <w:spacing w:before="60"/>
      <w:ind w:left="360"/>
    </w:pPr>
    <w:rPr>
      <w:rFonts w:ascii="Garamond" w:hAnsi="Garamond" w:cs="Garamond"/>
    </w:rPr>
  </w:style>
  <w:style w:type="paragraph" w:customStyle="1" w:styleId="Tabledesmatiresniveau1">
    <w:name w:val="Table des matières niveau 1"/>
    <w:basedOn w:val="Normal"/>
    <w:next w:val="Normal"/>
    <w:autoRedefine/>
    <w:uiPriority w:val="39"/>
    <w:unhideWhenUsed/>
    <w:rsid w:val="00003DBC"/>
    <w:pPr>
      <w:spacing w:after="100"/>
    </w:pPr>
  </w:style>
  <w:style w:type="paragraph" w:customStyle="1" w:styleId="Tabledesmatiresniveau3">
    <w:name w:val="Table des matières niveau 3"/>
    <w:basedOn w:val="Normal1"/>
    <w:next w:val="Normal1"/>
    <w:pPr>
      <w:ind w:left="480"/>
    </w:pPr>
    <w:rPr>
      <w:i/>
      <w:iCs/>
      <w:sz w:val="20"/>
    </w:rPr>
  </w:style>
  <w:style w:type="paragraph" w:customStyle="1" w:styleId="Tabledesmatiresniveau4">
    <w:name w:val="Table des matières niveau 4"/>
    <w:basedOn w:val="Normal1"/>
    <w:next w:val="Normal1"/>
    <w:pPr>
      <w:ind w:left="720"/>
    </w:pPr>
    <w:rPr>
      <w:sz w:val="18"/>
      <w:szCs w:val="18"/>
    </w:rPr>
  </w:style>
  <w:style w:type="paragraph" w:customStyle="1" w:styleId="Tabledesmatiresniveau5">
    <w:name w:val="Table des matières niveau 5"/>
    <w:basedOn w:val="Normal1"/>
    <w:next w:val="Normal1"/>
    <w:pPr>
      <w:ind w:left="960"/>
    </w:pPr>
    <w:rPr>
      <w:sz w:val="18"/>
      <w:szCs w:val="18"/>
    </w:rPr>
  </w:style>
  <w:style w:type="paragraph" w:customStyle="1" w:styleId="Tabledesmatiresniveau6">
    <w:name w:val="Table des matières niveau 6"/>
    <w:basedOn w:val="Normal1"/>
    <w:next w:val="Normal1"/>
    <w:pPr>
      <w:ind w:left="1200"/>
    </w:pPr>
    <w:rPr>
      <w:sz w:val="18"/>
      <w:szCs w:val="18"/>
    </w:rPr>
  </w:style>
  <w:style w:type="paragraph" w:customStyle="1" w:styleId="Tabledesmatiresniveau7">
    <w:name w:val="Table des matières niveau 7"/>
    <w:basedOn w:val="Normal1"/>
    <w:next w:val="Normal1"/>
    <w:pPr>
      <w:ind w:left="1440"/>
    </w:pPr>
    <w:rPr>
      <w:sz w:val="18"/>
      <w:szCs w:val="18"/>
    </w:rPr>
  </w:style>
  <w:style w:type="paragraph" w:customStyle="1" w:styleId="Tabledesmatiresniveau8">
    <w:name w:val="Table des matières niveau 8"/>
    <w:basedOn w:val="Normal1"/>
    <w:next w:val="Normal1"/>
    <w:pPr>
      <w:ind w:left="1680"/>
    </w:pPr>
    <w:rPr>
      <w:sz w:val="18"/>
      <w:szCs w:val="18"/>
    </w:rPr>
  </w:style>
  <w:style w:type="paragraph" w:customStyle="1" w:styleId="Tabledesmatiresniveau9">
    <w:name w:val="Table des matières niveau 9"/>
    <w:basedOn w:val="Normal1"/>
    <w:next w:val="Normal1"/>
    <w:autoRedefine/>
    <w:uiPriority w:val="39"/>
    <w:semiHidden/>
    <w:unhideWhenUsed/>
    <w:rsid w:val="00EB7828"/>
    <w:pPr>
      <w:spacing w:after="100"/>
      <w:ind w:left="1760"/>
    </w:pPr>
    <w:rPr>
      <w:sz w:val="18"/>
      <w:szCs w:val="18"/>
    </w:rPr>
  </w:style>
  <w:style w:type="paragraph" w:customStyle="1" w:styleId="CarCar">
    <w:name w:val="Car Car"/>
    <w:basedOn w:val="Normal1"/>
    <w:qFormat/>
    <w:pPr>
      <w:spacing w:after="160" w:line="240" w:lineRule="exact"/>
    </w:pPr>
    <w:rPr>
      <w:rFonts w:ascii="Tahoma" w:hAnsi="Tahoma" w:cs="Tahoma"/>
      <w:sz w:val="20"/>
      <w:lang w:val="en-US"/>
    </w:rPr>
  </w:style>
  <w:style w:type="paragraph" w:customStyle="1" w:styleId="VLR1">
    <w:name w:val="VLR 1"/>
    <w:basedOn w:val="Normal1"/>
    <w:qFormat/>
    <w:rPr>
      <w:u w:val="single"/>
    </w:rPr>
  </w:style>
  <w:style w:type="paragraph" w:customStyle="1" w:styleId="VLR2">
    <w:name w:val="VLR2"/>
    <w:basedOn w:val="Titre2"/>
    <w:qFormat/>
    <w:pPr>
      <w:tabs>
        <w:tab w:val="left" w:pos="360"/>
        <w:tab w:val="left" w:pos="432"/>
      </w:tabs>
      <w:ind w:left="432" w:hanging="432"/>
    </w:pPr>
  </w:style>
  <w:style w:type="paragraph" w:customStyle="1" w:styleId="En-ttedetabledesmatires1">
    <w:name w:val="En-tête de table des matières1"/>
    <w:basedOn w:val="Normal1"/>
    <w:next w:val="Normal1"/>
    <w:qFormat/>
    <w:pPr>
      <w:keepLines/>
      <w:spacing w:before="480" w:after="0" w:line="276" w:lineRule="auto"/>
    </w:pPr>
    <w:rPr>
      <w:rFonts w:ascii="Cambria" w:hAnsi="Cambria" w:cs="Cambria"/>
      <w:color w:val="365F91"/>
      <w:sz w:val="28"/>
      <w:szCs w:val="28"/>
    </w:rPr>
  </w:style>
  <w:style w:type="paragraph" w:customStyle="1" w:styleId="Rvision1">
    <w:name w:val="Révision1"/>
    <w:qFormat/>
    <w:pPr>
      <w:suppressAutoHyphens/>
    </w:pPr>
    <w:rPr>
      <w:rFonts w:ascii="Arial" w:hAnsi="Arial" w:cs="Arial"/>
      <w:color w:val="00000A"/>
      <w:sz w:val="22"/>
      <w:lang w:eastAsia="ar-SA"/>
    </w:rPr>
  </w:style>
  <w:style w:type="paragraph" w:customStyle="1" w:styleId="Paragraphedeliste1">
    <w:name w:val="Paragraphe de liste1"/>
    <w:basedOn w:val="Normal1"/>
    <w:qFormat/>
    <w:pPr>
      <w:ind w:left="708"/>
    </w:pPr>
  </w:style>
  <w:style w:type="paragraph" w:styleId="NormalWeb">
    <w:name w:val="Normal (Web)"/>
    <w:basedOn w:val="Normal1"/>
    <w:qFormat/>
    <w:pPr>
      <w:spacing w:before="280" w:after="280"/>
    </w:pPr>
    <w:rPr>
      <w:rFonts w:ascii="Times New Roman" w:hAnsi="Times New Roman" w:cs="Times New Roman"/>
    </w:rPr>
  </w:style>
  <w:style w:type="paragraph" w:styleId="Notedefin">
    <w:name w:val="endnote text"/>
    <w:basedOn w:val="Normal1"/>
    <w:qFormat/>
    <w:pPr>
      <w:spacing w:after="0"/>
    </w:pPr>
    <w:rPr>
      <w:sz w:val="20"/>
    </w:rPr>
  </w:style>
  <w:style w:type="paragraph" w:customStyle="1" w:styleId="Puces1">
    <w:name w:val="Puces 1"/>
    <w:basedOn w:val="Normal1"/>
    <w:qFormat/>
    <w:pPr>
      <w:keepLines/>
      <w:tabs>
        <w:tab w:val="left" w:pos="567"/>
      </w:tabs>
      <w:spacing w:before="60"/>
    </w:pPr>
    <w:rPr>
      <w:rFonts w:ascii="Cambria" w:hAnsi="Cambria" w:cs="Cambria"/>
    </w:rPr>
  </w:style>
  <w:style w:type="paragraph" w:customStyle="1" w:styleId="Puces2">
    <w:name w:val="Puces 2"/>
    <w:basedOn w:val="Normal1"/>
    <w:qFormat/>
    <w:pPr>
      <w:keepLines/>
      <w:tabs>
        <w:tab w:val="left" w:pos="567"/>
        <w:tab w:val="left" w:pos="1134"/>
      </w:tabs>
      <w:spacing w:before="60"/>
      <w:ind w:left="1134" w:hanging="567"/>
    </w:pPr>
    <w:rPr>
      <w:rFonts w:ascii="Cambria" w:hAnsi="Cambria" w:cs="Cambria"/>
    </w:rPr>
  </w:style>
  <w:style w:type="paragraph" w:customStyle="1" w:styleId="Puces3">
    <w:name w:val="Puces 3"/>
    <w:basedOn w:val="Normal1"/>
    <w:qFormat/>
    <w:pPr>
      <w:tabs>
        <w:tab w:val="left" w:pos="567"/>
        <w:tab w:val="left" w:pos="1134"/>
        <w:tab w:val="left" w:pos="1701"/>
      </w:tabs>
      <w:spacing w:before="60"/>
      <w:ind w:left="1701" w:hanging="567"/>
    </w:pPr>
    <w:rPr>
      <w:rFonts w:ascii="Cambria" w:hAnsi="Cambria" w:cs="Cambria"/>
    </w:rPr>
  </w:style>
  <w:style w:type="paragraph" w:customStyle="1" w:styleId="Car1Car">
    <w:name w:val="Car1 Car"/>
    <w:basedOn w:val="Normal1"/>
    <w:qFormat/>
    <w:pPr>
      <w:tabs>
        <w:tab w:val="left" w:pos="540"/>
        <w:tab w:val="left" w:pos="1260"/>
        <w:tab w:val="left" w:pos="1800"/>
      </w:tabs>
      <w:spacing w:before="240" w:after="160" w:line="240" w:lineRule="exact"/>
    </w:pPr>
    <w:rPr>
      <w:rFonts w:ascii="Verdana" w:hAnsi="Verdana" w:cs="Verdana"/>
      <w:lang w:val="en-US"/>
    </w:rPr>
  </w:style>
  <w:style w:type="paragraph" w:customStyle="1" w:styleId="Titre10">
    <w:name w:val="Titre1"/>
    <w:basedOn w:val="Puces1"/>
    <w:qFormat/>
    <w:pPr>
      <w:spacing w:line="360" w:lineRule="auto"/>
    </w:pPr>
    <w:rPr>
      <w:rFonts w:ascii="Arial" w:hAnsi="Arial" w:cs="Arial"/>
      <w:b/>
      <w:bCs/>
      <w:u w:val="single"/>
    </w:rPr>
  </w:style>
  <w:style w:type="paragraph" w:customStyle="1" w:styleId="STitre1">
    <w:name w:val="S_Titre1"/>
    <w:basedOn w:val="Puces2"/>
    <w:qFormat/>
    <w:pPr>
      <w:tabs>
        <w:tab w:val="left" w:pos="360"/>
        <w:tab w:val="left" w:pos="792"/>
      </w:tabs>
      <w:spacing w:line="360" w:lineRule="auto"/>
      <w:ind w:left="792" w:hanging="432"/>
    </w:pPr>
    <w:rPr>
      <w:rFonts w:ascii="Arial" w:hAnsi="Arial" w:cs="Arial"/>
      <w:b/>
      <w:bCs/>
      <w:szCs w:val="22"/>
    </w:rPr>
  </w:style>
  <w:style w:type="paragraph" w:customStyle="1" w:styleId="standard">
    <w:name w:val="standard"/>
    <w:qFormat/>
    <w:pPr>
      <w:keepLines/>
      <w:suppressAutoHyphens/>
      <w:spacing w:before="120" w:after="120"/>
      <w:jc w:val="both"/>
    </w:pPr>
    <w:rPr>
      <w:rFonts w:ascii="Cambria" w:hAnsi="Cambria" w:cs="Cambria"/>
      <w:color w:val="00000A"/>
      <w:sz w:val="22"/>
      <w:lang w:eastAsia="ar-SA"/>
    </w:rPr>
  </w:style>
  <w:style w:type="paragraph" w:customStyle="1" w:styleId="Contenuducadre">
    <w:name w:val="Contenu du cadre"/>
    <w:basedOn w:val="Corpsdetexte"/>
    <w:qFormat/>
  </w:style>
  <w:style w:type="paragraph" w:customStyle="1" w:styleId="Contenudetableau">
    <w:name w:val="Contenu de tableau"/>
    <w:basedOn w:val="Normal1"/>
    <w:qFormat/>
    <w:pPr>
      <w:suppressLineNumbers/>
    </w:pPr>
  </w:style>
  <w:style w:type="paragraph" w:customStyle="1" w:styleId="Titredetableau">
    <w:name w:val="Titre de tableau"/>
    <w:basedOn w:val="Contenudetableau"/>
    <w:qFormat/>
    <w:pPr>
      <w:jc w:val="center"/>
    </w:pPr>
    <w:rPr>
      <w:b/>
      <w:bCs/>
    </w:rPr>
  </w:style>
  <w:style w:type="paragraph" w:customStyle="1" w:styleId="Tabledesmatiresniveau10">
    <w:name w:val="Table des matières niveau 10"/>
    <w:basedOn w:val="Index"/>
    <w:qFormat/>
    <w:pPr>
      <w:tabs>
        <w:tab w:val="right" w:leader="dot" w:pos="7091"/>
      </w:tabs>
      <w:ind w:left="2547"/>
    </w:pPr>
  </w:style>
  <w:style w:type="paragraph" w:styleId="Commentaire">
    <w:name w:val="annotation text"/>
    <w:basedOn w:val="Normal1"/>
    <w:qFormat/>
    <w:rPr>
      <w:sz w:val="20"/>
    </w:rPr>
  </w:style>
  <w:style w:type="paragraph" w:styleId="Rvision">
    <w:name w:val="Revision"/>
    <w:qFormat/>
    <w:pPr>
      <w:suppressAutoHyphens/>
    </w:pPr>
    <w:rPr>
      <w:rFonts w:ascii="Arial" w:hAnsi="Arial" w:cs="Arial"/>
      <w:color w:val="00000A"/>
      <w:sz w:val="22"/>
      <w:lang w:eastAsia="ar-SA"/>
    </w:rPr>
  </w:style>
  <w:style w:type="paragraph" w:styleId="Paragraphedeliste">
    <w:name w:val="List Paragraph"/>
    <w:basedOn w:val="Normal1"/>
    <w:qFormat/>
    <w:pPr>
      <w:suppressAutoHyphens w:val="0"/>
      <w:spacing w:after="0"/>
      <w:ind w:left="720"/>
    </w:pPr>
    <w:rPr>
      <w:rFonts w:ascii="Calibri" w:eastAsia="Calibri" w:hAnsi="Calibri" w:cs="Calibri"/>
      <w:szCs w:val="22"/>
      <w:lang w:eastAsia="en-US"/>
    </w:rPr>
  </w:style>
  <w:style w:type="paragraph" w:customStyle="1" w:styleId="Paragraphedeliste2">
    <w:name w:val="Paragraphe de liste2"/>
    <w:basedOn w:val="Normal1"/>
    <w:qFormat/>
    <w:pPr>
      <w:suppressAutoHyphens w:val="0"/>
      <w:spacing w:after="0"/>
      <w:ind w:left="720"/>
    </w:pPr>
    <w:rPr>
      <w:rFonts w:ascii="Calibri" w:hAnsi="Calibri" w:cs="Calibri"/>
      <w:szCs w:val="22"/>
      <w:lang w:eastAsia="en-US"/>
    </w:rPr>
  </w:style>
  <w:style w:type="paragraph" w:customStyle="1" w:styleId="Paragraphedeliste3">
    <w:name w:val="Paragraphe de liste3"/>
    <w:basedOn w:val="Normal1"/>
    <w:qFormat/>
    <w:pPr>
      <w:suppressAutoHyphens w:val="0"/>
      <w:spacing w:after="0"/>
      <w:ind w:left="720"/>
    </w:pPr>
    <w:rPr>
      <w:rFonts w:ascii="Calibri" w:hAnsi="Calibri" w:cs="Calibri"/>
      <w:szCs w:val="22"/>
      <w:lang w:eastAsia="en-US"/>
    </w:rPr>
  </w:style>
  <w:style w:type="paragraph" w:customStyle="1" w:styleId="FAR09Noir">
    <w:name w:val="FAR09Noir"/>
    <w:basedOn w:val="Normal1"/>
    <w:qFormat/>
    <w:rsid w:val="003D618D"/>
    <w:pPr>
      <w:suppressAutoHyphens w:val="0"/>
      <w:spacing w:before="20" w:after="20" w:line="240" w:lineRule="atLeast"/>
    </w:pPr>
    <w:rPr>
      <w:spacing w:val="4"/>
      <w:sz w:val="18"/>
      <w:szCs w:val="18"/>
      <w:lang w:eastAsia="fr-FR"/>
    </w:rPr>
  </w:style>
  <w:style w:type="paragraph" w:customStyle="1" w:styleId="Paragraphedeliste4">
    <w:name w:val="Paragraphe de liste4"/>
    <w:basedOn w:val="Normal1"/>
    <w:qFormat/>
    <w:rsid w:val="00234570"/>
    <w:pPr>
      <w:suppressAutoHyphens w:val="0"/>
      <w:spacing w:after="0"/>
      <w:ind w:left="720"/>
    </w:pPr>
    <w:rPr>
      <w:rFonts w:ascii="Calibri" w:hAnsi="Calibri" w:cs="Calibri"/>
      <w:szCs w:val="22"/>
      <w:lang w:eastAsia="en-US"/>
    </w:rPr>
  </w:style>
  <w:style w:type="paragraph" w:customStyle="1" w:styleId="Quotations">
    <w:name w:val="Quotations"/>
    <w:basedOn w:val="Normal"/>
    <w:qFormat/>
  </w:style>
  <w:style w:type="paragraph" w:styleId="Sous-titre">
    <w:name w:val="Subtitle"/>
    <w:basedOn w:val="Titreprincipal"/>
  </w:style>
  <w:style w:type="table" w:styleId="Grilledutableau">
    <w:name w:val="Table Grid"/>
    <w:basedOn w:val="TableauNormal"/>
    <w:rsid w:val="00BE7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2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mentation.intelligente@franceagrimer.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ilweb.franceagrimer.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E958-F148-475F-97FA-D02EE070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3392</Words>
  <Characters>18661</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CDC Concours d'innovation</vt:lpstr>
    </vt:vector>
  </TitlesOfParts>
  <Company>FranceAgriMer</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Concours d'innovation</dc:title>
  <dc:creator>Jérôme LAMMENS/ADEME;LAMMENS Jérôme</dc:creator>
  <cp:lastModifiedBy>LEGRAIN Claire</cp:lastModifiedBy>
  <cp:revision>4</cp:revision>
  <cp:lastPrinted>2017-12-21T14:36:00Z</cp:lastPrinted>
  <dcterms:created xsi:type="dcterms:W3CDTF">2017-12-21T14:37:00Z</dcterms:created>
  <dcterms:modified xsi:type="dcterms:W3CDTF">2018-01-08T14:17:00Z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FranceAgriMer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